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F" w:rsidRPr="00F64639" w:rsidRDefault="00374E45" w:rsidP="00FC6F38">
      <w:pPr>
        <w:jc w:val="center"/>
        <w:rPr>
          <w:sz w:val="28"/>
          <w:szCs w:val="72"/>
        </w:rPr>
      </w:pPr>
      <w:r w:rsidRPr="00F64639">
        <w:rPr>
          <w:noProof/>
          <w:sz w:val="28"/>
          <w:szCs w:val="72"/>
        </w:rPr>
        <w:drawing>
          <wp:inline distT="0" distB="0" distL="0" distR="0">
            <wp:extent cx="1294130" cy="862330"/>
            <wp:effectExtent l="19050" t="0" r="1270" b="0"/>
            <wp:docPr id="13" name="Picture 2" descr="flagge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_eu"/>
                    <pic:cNvPicPr>
                      <a:picLocks noChangeAspect="1" noChangeArrowheads="1"/>
                    </pic:cNvPicPr>
                  </pic:nvPicPr>
                  <pic:blipFill>
                    <a:blip r:embed="rId8" cstate="print"/>
                    <a:srcRect/>
                    <a:stretch>
                      <a:fillRect/>
                    </a:stretch>
                  </pic:blipFill>
                  <pic:spPr bwMode="auto">
                    <a:xfrm>
                      <a:off x="0" y="0"/>
                      <a:ext cx="1294130" cy="862330"/>
                    </a:xfrm>
                    <a:prstGeom prst="rect">
                      <a:avLst/>
                    </a:prstGeom>
                    <a:noFill/>
                    <a:ln w="9525">
                      <a:noFill/>
                      <a:miter lim="800000"/>
                      <a:headEnd/>
                      <a:tailEnd/>
                    </a:ln>
                  </pic:spPr>
                </pic:pic>
              </a:graphicData>
            </a:graphic>
          </wp:inline>
        </w:drawing>
      </w:r>
      <w:r w:rsidRPr="00F64639">
        <w:rPr>
          <w:noProof/>
          <w:sz w:val="4"/>
        </w:rPr>
        <w:drawing>
          <wp:anchor distT="0" distB="0" distL="114300" distR="114300" simplePos="0" relativeHeight="251657728" behindDoc="0" locked="0" layoutInCell="1" allowOverlap="1">
            <wp:simplePos x="0" y="0"/>
            <wp:positionH relativeFrom="column">
              <wp:align>left</wp:align>
            </wp:positionH>
            <wp:positionV relativeFrom="paragraph">
              <wp:posOffset>11430</wp:posOffset>
            </wp:positionV>
            <wp:extent cx="2522220" cy="6981190"/>
            <wp:effectExtent l="19050" t="0" r="0" b="0"/>
            <wp:wrapSquare wrapText="bothSides"/>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l="3052"/>
                    <a:stretch>
                      <a:fillRect/>
                    </a:stretch>
                  </pic:blipFill>
                  <pic:spPr bwMode="auto">
                    <a:xfrm>
                      <a:off x="0" y="0"/>
                      <a:ext cx="2522220" cy="6981190"/>
                    </a:xfrm>
                    <a:prstGeom prst="rect">
                      <a:avLst/>
                    </a:prstGeom>
                    <a:noFill/>
                    <a:ln w="9525">
                      <a:noFill/>
                      <a:miter lim="800000"/>
                      <a:headEnd/>
                      <a:tailEnd/>
                    </a:ln>
                  </pic:spPr>
                </pic:pic>
              </a:graphicData>
            </a:graphic>
          </wp:anchor>
        </w:drawing>
      </w:r>
    </w:p>
    <w:p w:rsidR="00FC6F38" w:rsidRPr="00F64639" w:rsidRDefault="00FC6F38" w:rsidP="00FC6F38">
      <w:pPr>
        <w:jc w:val="center"/>
        <w:rPr>
          <w:b/>
          <w:i/>
          <w:smallCaps/>
        </w:rPr>
      </w:pPr>
      <w:r w:rsidRPr="00F64639">
        <w:rPr>
          <w:b/>
          <w:i/>
          <w:smallCaps/>
        </w:rPr>
        <w:t xml:space="preserve">„Európai Mezőgazdasági Vidékfejlesztési Alap: </w:t>
      </w:r>
    </w:p>
    <w:p w:rsidR="00FC6F38" w:rsidRPr="00F64639" w:rsidRDefault="00FC6F38" w:rsidP="00FC6F38">
      <w:pPr>
        <w:jc w:val="center"/>
        <w:rPr>
          <w:b/>
          <w:i/>
          <w:smallCaps/>
        </w:rPr>
      </w:pPr>
      <w:proofErr w:type="gramStart"/>
      <w:r w:rsidRPr="00F64639">
        <w:rPr>
          <w:b/>
          <w:i/>
          <w:smallCaps/>
        </w:rPr>
        <w:t>a</w:t>
      </w:r>
      <w:proofErr w:type="gramEnd"/>
      <w:r w:rsidRPr="00F64639">
        <w:rPr>
          <w:b/>
          <w:i/>
          <w:smallCaps/>
        </w:rPr>
        <w:t xml:space="preserve"> vidéki területekbe beruházó Európa”</w:t>
      </w:r>
    </w:p>
    <w:p w:rsidR="00FC134F" w:rsidRPr="00F64639" w:rsidRDefault="00FC134F" w:rsidP="00FC6F38">
      <w:pPr>
        <w:jc w:val="center"/>
        <w:rPr>
          <w:color w:val="00B050"/>
        </w:rPr>
      </w:pPr>
    </w:p>
    <w:p w:rsidR="00FC6F38" w:rsidRPr="00F64639" w:rsidRDefault="00FC6F38" w:rsidP="00FC6F38">
      <w:pPr>
        <w:jc w:val="center"/>
        <w:rPr>
          <w:b/>
          <w:color w:val="00B050"/>
          <w:sz w:val="40"/>
          <w:szCs w:val="40"/>
        </w:rPr>
      </w:pPr>
      <w:r w:rsidRPr="00F64639">
        <w:rPr>
          <w:b/>
          <w:color w:val="00B050"/>
          <w:sz w:val="72"/>
          <w:szCs w:val="72"/>
        </w:rPr>
        <w:t>HUNGARIKUM</w:t>
      </w:r>
      <w:r w:rsidRPr="00F64639">
        <w:rPr>
          <w:b/>
          <w:color w:val="00B050"/>
          <w:sz w:val="40"/>
          <w:szCs w:val="40"/>
        </w:rPr>
        <w:t xml:space="preserve"> Konzorcium</w:t>
      </w:r>
    </w:p>
    <w:p w:rsidR="00FC6F38" w:rsidRPr="00F64639" w:rsidRDefault="00FC6F38" w:rsidP="00FC6F38">
      <w:pPr>
        <w:jc w:val="center"/>
        <w:rPr>
          <w:color w:val="00B050"/>
        </w:rPr>
      </w:pPr>
    </w:p>
    <w:p w:rsidR="00FC6F38" w:rsidRPr="00F64639" w:rsidRDefault="007A3B59" w:rsidP="00CE3290">
      <w:pPr>
        <w:jc w:val="center"/>
        <w:rPr>
          <w:b/>
          <w:smallCaps/>
          <w:color w:val="00B050"/>
          <w:sz w:val="56"/>
          <w:szCs w:val="56"/>
        </w:rPr>
      </w:pPr>
      <w:r>
        <w:rPr>
          <w:b/>
          <w:smallCaps/>
          <w:color w:val="00B050"/>
          <w:sz w:val="56"/>
          <w:szCs w:val="56"/>
        </w:rPr>
        <w:t>5.1. fejezet</w:t>
      </w:r>
    </w:p>
    <w:p w:rsidR="00FC6F38" w:rsidRPr="00F64639" w:rsidRDefault="00FC6F38" w:rsidP="00FC6F38">
      <w:pPr>
        <w:jc w:val="center"/>
        <w:rPr>
          <w:b/>
          <w:color w:val="00B050"/>
          <w:sz w:val="24"/>
          <w:szCs w:val="24"/>
        </w:rPr>
      </w:pPr>
    </w:p>
    <w:p w:rsidR="00FC6F38" w:rsidRPr="00F64639" w:rsidRDefault="00BF1F0C" w:rsidP="00FC6F38">
      <w:pPr>
        <w:spacing w:after="600"/>
        <w:jc w:val="center"/>
        <w:rPr>
          <w:b/>
          <w:color w:val="00B050"/>
          <w:sz w:val="40"/>
          <w:szCs w:val="40"/>
        </w:rPr>
      </w:pPr>
      <w:r>
        <w:rPr>
          <w:b/>
          <w:color w:val="00B050"/>
          <w:sz w:val="40"/>
          <w:szCs w:val="40"/>
        </w:rPr>
        <w:t>2010. december</w:t>
      </w:r>
    </w:p>
    <w:p w:rsidR="00FC6F38" w:rsidRDefault="00374E45" w:rsidP="00FC6F38">
      <w:pPr>
        <w:jc w:val="center"/>
      </w:pPr>
      <w:r w:rsidRPr="00F64639">
        <w:rPr>
          <w:noProof/>
        </w:rPr>
        <w:drawing>
          <wp:inline distT="0" distB="0" distL="0" distR="0">
            <wp:extent cx="2078990" cy="1958340"/>
            <wp:effectExtent l="19050" t="0" r="0" b="0"/>
            <wp:docPr id="2" name="Picture 1" descr="umvp_all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p_allo_2"/>
                    <pic:cNvPicPr>
                      <a:picLocks noChangeAspect="1" noChangeArrowheads="1"/>
                    </pic:cNvPicPr>
                  </pic:nvPicPr>
                  <pic:blipFill>
                    <a:blip r:embed="rId10" cstate="print"/>
                    <a:srcRect/>
                    <a:stretch>
                      <a:fillRect/>
                    </a:stretch>
                  </pic:blipFill>
                  <pic:spPr bwMode="auto">
                    <a:xfrm>
                      <a:off x="0" y="0"/>
                      <a:ext cx="2078990" cy="1958340"/>
                    </a:xfrm>
                    <a:prstGeom prst="rect">
                      <a:avLst/>
                    </a:prstGeom>
                    <a:noFill/>
                    <a:ln w="9525">
                      <a:noFill/>
                      <a:miter lim="800000"/>
                      <a:headEnd/>
                      <a:tailEnd/>
                    </a:ln>
                  </pic:spPr>
                </pic:pic>
              </a:graphicData>
            </a:graphic>
          </wp:inline>
        </w:drawing>
      </w:r>
    </w:p>
    <w:p w:rsidR="007A3B59" w:rsidRDefault="007A3B59" w:rsidP="00FC6F38">
      <w:pPr>
        <w:jc w:val="center"/>
      </w:pPr>
    </w:p>
    <w:p w:rsidR="007A3B59" w:rsidRDefault="007A3B59" w:rsidP="00FC6F38">
      <w:pPr>
        <w:jc w:val="center"/>
      </w:pPr>
    </w:p>
    <w:p w:rsidR="007A3B59" w:rsidRPr="00F64639" w:rsidRDefault="007A3B59" w:rsidP="00FC6F38">
      <w:pPr>
        <w:jc w:val="center"/>
      </w:pPr>
    </w:p>
    <w:p w:rsidR="00FC6F38" w:rsidRPr="00F64639" w:rsidRDefault="00FC6F38" w:rsidP="00FC6F38">
      <w:pPr>
        <w:jc w:val="center"/>
        <w:rPr>
          <w:b/>
          <w:smallCaps/>
          <w:color w:val="00B050"/>
          <w:sz w:val="40"/>
          <w:szCs w:val="40"/>
        </w:rPr>
      </w:pPr>
      <w:r w:rsidRPr="00F64639">
        <w:rPr>
          <w:b/>
          <w:smallCaps/>
          <w:color w:val="00B050"/>
          <w:sz w:val="40"/>
          <w:szCs w:val="40"/>
        </w:rPr>
        <w:t xml:space="preserve">Az Új Magyarország Vidékfejlesztési Program </w:t>
      </w:r>
    </w:p>
    <w:p w:rsidR="002C49D7" w:rsidRPr="00F64639" w:rsidRDefault="00FC6F38" w:rsidP="00FC6F38">
      <w:pPr>
        <w:jc w:val="center"/>
      </w:pPr>
      <w:r w:rsidRPr="00F64639">
        <w:rPr>
          <w:b/>
          <w:smallCaps/>
          <w:color w:val="00B050"/>
          <w:sz w:val="40"/>
          <w:szCs w:val="40"/>
        </w:rPr>
        <w:t>(2007-2013) félidős (</w:t>
      </w:r>
      <w:proofErr w:type="spellStart"/>
      <w:r w:rsidRPr="00F64639">
        <w:rPr>
          <w:b/>
          <w:smallCaps/>
          <w:color w:val="00B050"/>
          <w:sz w:val="40"/>
          <w:szCs w:val="40"/>
        </w:rPr>
        <w:t>mid-term</w:t>
      </w:r>
      <w:proofErr w:type="spellEnd"/>
      <w:r w:rsidRPr="00F64639">
        <w:rPr>
          <w:b/>
          <w:smallCaps/>
          <w:color w:val="00B050"/>
          <w:sz w:val="40"/>
          <w:szCs w:val="40"/>
        </w:rPr>
        <w:t>) értékelése</w:t>
      </w:r>
      <w:r w:rsidR="00FC134F" w:rsidRPr="00F64639">
        <w:br w:type="page"/>
      </w:r>
    </w:p>
    <w:p w:rsidR="002C49D7" w:rsidRPr="00F64639" w:rsidRDefault="002C49D7" w:rsidP="008452C0">
      <w:pPr>
        <w:jc w:val="center"/>
        <w:rPr>
          <w:b/>
          <w:smallCaps/>
          <w:sz w:val="28"/>
          <w:szCs w:val="28"/>
        </w:rPr>
      </w:pPr>
      <w:r w:rsidRPr="00F64639">
        <w:rPr>
          <w:b/>
          <w:smallCaps/>
          <w:sz w:val="28"/>
          <w:szCs w:val="28"/>
        </w:rPr>
        <w:lastRenderedPageBreak/>
        <w:t>Tartalom</w:t>
      </w:r>
      <w:r w:rsidR="008452C0" w:rsidRPr="00F64639">
        <w:rPr>
          <w:b/>
          <w:smallCaps/>
          <w:sz w:val="28"/>
          <w:szCs w:val="28"/>
        </w:rPr>
        <w:t>jegyzék</w:t>
      </w:r>
    </w:p>
    <w:p w:rsidR="00DD5284" w:rsidRDefault="00075A29">
      <w:pPr>
        <w:pStyle w:val="TOC1"/>
        <w:rPr>
          <w:rFonts w:asciiTheme="minorHAnsi" w:eastAsiaTheme="minorEastAsia" w:hAnsiTheme="minorHAnsi" w:cstheme="minorBidi"/>
          <w:caps w:val="0"/>
          <w:sz w:val="22"/>
          <w:szCs w:val="22"/>
        </w:rPr>
      </w:pPr>
      <w:r w:rsidRPr="00075A29">
        <w:fldChar w:fldCharType="begin"/>
      </w:r>
      <w:r w:rsidR="0044598B" w:rsidRPr="00F64639">
        <w:instrText xml:space="preserve"> TOC \o "1-3" \h \z \u </w:instrText>
      </w:r>
      <w:r w:rsidRPr="00075A29">
        <w:fldChar w:fldCharType="separate"/>
      </w:r>
      <w:hyperlink w:anchor="_Toc280786845" w:history="1">
        <w:r w:rsidR="00DD5284" w:rsidRPr="00FC139F">
          <w:rPr>
            <w:rStyle w:val="Hyperlink"/>
          </w:rPr>
          <w:t>5.</w:t>
        </w:r>
        <w:r w:rsidR="00DD5284">
          <w:rPr>
            <w:rFonts w:asciiTheme="minorHAnsi" w:eastAsiaTheme="minorEastAsia" w:hAnsiTheme="minorHAnsi" w:cstheme="minorBidi"/>
            <w:caps w:val="0"/>
            <w:sz w:val="22"/>
            <w:szCs w:val="22"/>
          </w:rPr>
          <w:tab/>
        </w:r>
        <w:r w:rsidR="00DD5284" w:rsidRPr="00FC139F">
          <w:rPr>
            <w:rStyle w:val="Hyperlink"/>
          </w:rPr>
          <w:t>A program, az intézkedések és a költségvetés leírása</w:t>
        </w:r>
        <w:r w:rsidR="00DD5284">
          <w:rPr>
            <w:webHidden/>
          </w:rPr>
          <w:tab/>
        </w:r>
        <w:r w:rsidR="00DD5284">
          <w:rPr>
            <w:webHidden/>
          </w:rPr>
          <w:fldChar w:fldCharType="begin"/>
        </w:r>
        <w:r w:rsidR="00DD5284">
          <w:rPr>
            <w:webHidden/>
          </w:rPr>
          <w:instrText xml:space="preserve"> PAGEREF _Toc280786845 \h </w:instrText>
        </w:r>
        <w:r w:rsidR="00DD5284">
          <w:rPr>
            <w:webHidden/>
          </w:rPr>
        </w:r>
        <w:r w:rsidR="00DD5284">
          <w:rPr>
            <w:webHidden/>
          </w:rPr>
          <w:fldChar w:fldCharType="separate"/>
        </w:r>
        <w:r w:rsidR="00DD5284">
          <w:rPr>
            <w:webHidden/>
          </w:rPr>
          <w:t>56</w:t>
        </w:r>
        <w:r w:rsidR="00DD5284">
          <w:rPr>
            <w:webHidden/>
          </w:rPr>
          <w:fldChar w:fldCharType="end"/>
        </w:r>
      </w:hyperlink>
    </w:p>
    <w:p w:rsidR="00DD5284" w:rsidRDefault="00DD5284">
      <w:pPr>
        <w:pStyle w:val="TOC2"/>
        <w:rPr>
          <w:rFonts w:asciiTheme="minorHAnsi" w:eastAsiaTheme="minorEastAsia" w:hAnsiTheme="minorHAnsi" w:cstheme="minorBidi"/>
          <w:noProof/>
          <w:sz w:val="22"/>
          <w:szCs w:val="22"/>
        </w:rPr>
      </w:pPr>
      <w:hyperlink w:anchor="_Toc280786846" w:history="1">
        <w:r w:rsidRPr="00FC139F">
          <w:rPr>
            <w:rStyle w:val="Hyperlink"/>
            <w:noProof/>
          </w:rPr>
          <w:t>5.1.</w:t>
        </w:r>
        <w:r>
          <w:rPr>
            <w:rFonts w:asciiTheme="minorHAnsi" w:eastAsiaTheme="minorEastAsia" w:hAnsiTheme="minorHAnsi" w:cstheme="minorBidi"/>
            <w:noProof/>
            <w:sz w:val="22"/>
            <w:szCs w:val="22"/>
          </w:rPr>
          <w:tab/>
        </w:r>
        <w:r w:rsidRPr="00FC139F">
          <w:rPr>
            <w:rStyle w:val="Hyperlink"/>
            <w:noProof/>
          </w:rPr>
          <w:t>Az I. tengely intézkedéseinek értékelése</w:t>
        </w:r>
        <w:r>
          <w:rPr>
            <w:noProof/>
            <w:webHidden/>
          </w:rPr>
          <w:tab/>
        </w:r>
        <w:r>
          <w:rPr>
            <w:noProof/>
            <w:webHidden/>
          </w:rPr>
          <w:fldChar w:fldCharType="begin"/>
        </w:r>
        <w:r>
          <w:rPr>
            <w:noProof/>
            <w:webHidden/>
          </w:rPr>
          <w:instrText xml:space="preserve"> PAGEREF _Toc280786846 \h </w:instrText>
        </w:r>
        <w:r>
          <w:rPr>
            <w:noProof/>
            <w:webHidden/>
          </w:rPr>
        </w:r>
        <w:r>
          <w:rPr>
            <w:noProof/>
            <w:webHidden/>
          </w:rPr>
          <w:fldChar w:fldCharType="separate"/>
        </w:r>
        <w:r>
          <w:rPr>
            <w:noProof/>
            <w:webHidden/>
          </w:rPr>
          <w:t>56</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47" w:history="1">
        <w:r w:rsidRPr="00FC139F">
          <w:rPr>
            <w:rStyle w:val="Hyperlink"/>
            <w:noProof/>
          </w:rPr>
          <w:t>5.1.1.</w:t>
        </w:r>
        <w:r>
          <w:rPr>
            <w:rFonts w:asciiTheme="minorHAnsi" w:eastAsiaTheme="minorEastAsia" w:hAnsiTheme="minorHAnsi" w:cstheme="minorBidi"/>
            <w:noProof/>
            <w:sz w:val="22"/>
            <w:szCs w:val="22"/>
          </w:rPr>
          <w:tab/>
        </w:r>
        <w:r w:rsidRPr="00FC139F">
          <w:rPr>
            <w:rStyle w:val="Hyperlink"/>
            <w:noProof/>
          </w:rPr>
          <w:t>Szakképzési és tájékoztatási tevékenységek (111. intézkedés)</w:t>
        </w:r>
        <w:r>
          <w:rPr>
            <w:noProof/>
            <w:webHidden/>
          </w:rPr>
          <w:tab/>
        </w:r>
        <w:r>
          <w:rPr>
            <w:noProof/>
            <w:webHidden/>
          </w:rPr>
          <w:fldChar w:fldCharType="begin"/>
        </w:r>
        <w:r>
          <w:rPr>
            <w:noProof/>
            <w:webHidden/>
          </w:rPr>
          <w:instrText xml:space="preserve"> PAGEREF _Toc280786847 \h </w:instrText>
        </w:r>
        <w:r>
          <w:rPr>
            <w:noProof/>
            <w:webHidden/>
          </w:rPr>
        </w:r>
        <w:r>
          <w:rPr>
            <w:noProof/>
            <w:webHidden/>
          </w:rPr>
          <w:fldChar w:fldCharType="separate"/>
        </w:r>
        <w:r>
          <w:rPr>
            <w:noProof/>
            <w:webHidden/>
          </w:rPr>
          <w:t>56</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48" w:history="1">
        <w:r w:rsidRPr="00FC139F">
          <w:rPr>
            <w:rStyle w:val="Hyperlink"/>
            <w:noProof/>
          </w:rPr>
          <w:t>5.1.2.</w:t>
        </w:r>
        <w:r>
          <w:rPr>
            <w:rFonts w:asciiTheme="minorHAnsi" w:eastAsiaTheme="minorEastAsia" w:hAnsiTheme="minorHAnsi" w:cstheme="minorBidi"/>
            <w:noProof/>
            <w:sz w:val="22"/>
            <w:szCs w:val="22"/>
          </w:rPr>
          <w:tab/>
        </w:r>
        <w:r w:rsidRPr="00FC139F">
          <w:rPr>
            <w:rStyle w:val="Hyperlink"/>
            <w:noProof/>
          </w:rPr>
          <w:t>Fiatal mezőgazdasági termelők számára nyújtandó támogatás (112. intézkedés)</w:t>
        </w:r>
        <w:r>
          <w:rPr>
            <w:noProof/>
            <w:webHidden/>
          </w:rPr>
          <w:tab/>
        </w:r>
        <w:r>
          <w:rPr>
            <w:noProof/>
            <w:webHidden/>
          </w:rPr>
          <w:fldChar w:fldCharType="begin"/>
        </w:r>
        <w:r>
          <w:rPr>
            <w:noProof/>
            <w:webHidden/>
          </w:rPr>
          <w:instrText xml:space="preserve"> PAGEREF _Toc280786848 \h </w:instrText>
        </w:r>
        <w:r>
          <w:rPr>
            <w:noProof/>
            <w:webHidden/>
          </w:rPr>
        </w:r>
        <w:r>
          <w:rPr>
            <w:noProof/>
            <w:webHidden/>
          </w:rPr>
          <w:fldChar w:fldCharType="separate"/>
        </w:r>
        <w:r>
          <w:rPr>
            <w:noProof/>
            <w:webHidden/>
          </w:rPr>
          <w:t>64</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49" w:history="1">
        <w:r w:rsidRPr="00FC139F">
          <w:rPr>
            <w:rStyle w:val="Hyperlink"/>
            <w:noProof/>
          </w:rPr>
          <w:t>5.1.3.</w:t>
        </w:r>
        <w:r>
          <w:rPr>
            <w:rFonts w:asciiTheme="minorHAnsi" w:eastAsiaTheme="minorEastAsia" w:hAnsiTheme="minorHAnsi" w:cstheme="minorBidi"/>
            <w:noProof/>
            <w:sz w:val="22"/>
            <w:szCs w:val="22"/>
          </w:rPr>
          <w:tab/>
        </w:r>
        <w:r w:rsidRPr="00FC139F">
          <w:rPr>
            <w:rStyle w:val="Hyperlink"/>
            <w:noProof/>
          </w:rPr>
          <w:t>A mezőgazdasági termelők gazdaságátadásához nyújtott támogatás (113. intézkedés)</w:t>
        </w:r>
        <w:r>
          <w:rPr>
            <w:noProof/>
            <w:webHidden/>
          </w:rPr>
          <w:tab/>
        </w:r>
        <w:r>
          <w:rPr>
            <w:noProof/>
            <w:webHidden/>
          </w:rPr>
          <w:fldChar w:fldCharType="begin"/>
        </w:r>
        <w:r>
          <w:rPr>
            <w:noProof/>
            <w:webHidden/>
          </w:rPr>
          <w:instrText xml:space="preserve"> PAGEREF _Toc280786849 \h </w:instrText>
        </w:r>
        <w:r>
          <w:rPr>
            <w:noProof/>
            <w:webHidden/>
          </w:rPr>
        </w:r>
        <w:r>
          <w:rPr>
            <w:noProof/>
            <w:webHidden/>
          </w:rPr>
          <w:fldChar w:fldCharType="separate"/>
        </w:r>
        <w:r>
          <w:rPr>
            <w:noProof/>
            <w:webHidden/>
          </w:rPr>
          <w:t>67</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50" w:history="1">
        <w:r w:rsidRPr="00FC139F">
          <w:rPr>
            <w:rStyle w:val="Hyperlink"/>
            <w:noProof/>
          </w:rPr>
          <w:t>5.1.4.</w:t>
        </w:r>
        <w:r>
          <w:rPr>
            <w:rFonts w:asciiTheme="minorHAnsi" w:eastAsiaTheme="minorEastAsia" w:hAnsiTheme="minorHAnsi" w:cstheme="minorBidi"/>
            <w:noProof/>
            <w:sz w:val="22"/>
            <w:szCs w:val="22"/>
          </w:rPr>
          <w:tab/>
        </w:r>
        <w:r w:rsidRPr="00FC139F">
          <w:rPr>
            <w:rStyle w:val="Hyperlink"/>
            <w:noProof/>
          </w:rPr>
          <w:t>Szaktanácsadói szolgáltatások igénybevétele (114. intézkedés)</w:t>
        </w:r>
        <w:r>
          <w:rPr>
            <w:noProof/>
            <w:webHidden/>
          </w:rPr>
          <w:tab/>
        </w:r>
        <w:r>
          <w:rPr>
            <w:noProof/>
            <w:webHidden/>
          </w:rPr>
          <w:fldChar w:fldCharType="begin"/>
        </w:r>
        <w:r>
          <w:rPr>
            <w:noProof/>
            <w:webHidden/>
          </w:rPr>
          <w:instrText xml:space="preserve"> PAGEREF _Toc280786850 \h </w:instrText>
        </w:r>
        <w:r>
          <w:rPr>
            <w:noProof/>
            <w:webHidden/>
          </w:rPr>
        </w:r>
        <w:r>
          <w:rPr>
            <w:noProof/>
            <w:webHidden/>
          </w:rPr>
          <w:fldChar w:fldCharType="separate"/>
        </w:r>
        <w:r>
          <w:rPr>
            <w:noProof/>
            <w:webHidden/>
          </w:rPr>
          <w:t>69</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51" w:history="1">
        <w:r w:rsidRPr="00FC139F">
          <w:rPr>
            <w:rStyle w:val="Hyperlink"/>
            <w:noProof/>
          </w:rPr>
          <w:t>5.1.5.</w:t>
        </w:r>
        <w:r>
          <w:rPr>
            <w:rFonts w:asciiTheme="minorHAnsi" w:eastAsiaTheme="minorEastAsia" w:hAnsiTheme="minorHAnsi" w:cstheme="minorBidi"/>
            <w:noProof/>
            <w:sz w:val="22"/>
            <w:szCs w:val="22"/>
          </w:rPr>
          <w:tab/>
        </w:r>
        <w:r w:rsidRPr="00FC139F">
          <w:rPr>
            <w:rStyle w:val="Hyperlink"/>
            <w:noProof/>
          </w:rPr>
          <w:t>Mezőgazdasági üzemek korszerűsítése (121. intézkedés)</w:t>
        </w:r>
        <w:r>
          <w:rPr>
            <w:noProof/>
            <w:webHidden/>
          </w:rPr>
          <w:tab/>
        </w:r>
        <w:r>
          <w:rPr>
            <w:noProof/>
            <w:webHidden/>
          </w:rPr>
          <w:fldChar w:fldCharType="begin"/>
        </w:r>
        <w:r>
          <w:rPr>
            <w:noProof/>
            <w:webHidden/>
          </w:rPr>
          <w:instrText xml:space="preserve"> PAGEREF _Toc280786851 \h </w:instrText>
        </w:r>
        <w:r>
          <w:rPr>
            <w:noProof/>
            <w:webHidden/>
          </w:rPr>
        </w:r>
        <w:r>
          <w:rPr>
            <w:noProof/>
            <w:webHidden/>
          </w:rPr>
          <w:fldChar w:fldCharType="separate"/>
        </w:r>
        <w:r>
          <w:rPr>
            <w:noProof/>
            <w:webHidden/>
          </w:rPr>
          <w:t>72</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52" w:history="1">
        <w:r w:rsidRPr="00FC139F">
          <w:rPr>
            <w:rStyle w:val="Hyperlink"/>
            <w:noProof/>
          </w:rPr>
          <w:t>5.1.6.</w:t>
        </w:r>
        <w:r>
          <w:rPr>
            <w:rFonts w:asciiTheme="minorHAnsi" w:eastAsiaTheme="minorEastAsia" w:hAnsiTheme="minorHAnsi" w:cstheme="minorBidi"/>
            <w:noProof/>
            <w:sz w:val="22"/>
            <w:szCs w:val="22"/>
          </w:rPr>
          <w:tab/>
        </w:r>
        <w:r w:rsidRPr="00FC139F">
          <w:rPr>
            <w:rStyle w:val="Hyperlink"/>
            <w:noProof/>
          </w:rPr>
          <w:t>Erdők gazdasági értékének javítása (122. intézkedés)</w:t>
        </w:r>
        <w:r>
          <w:rPr>
            <w:noProof/>
            <w:webHidden/>
          </w:rPr>
          <w:tab/>
        </w:r>
        <w:r>
          <w:rPr>
            <w:noProof/>
            <w:webHidden/>
          </w:rPr>
          <w:fldChar w:fldCharType="begin"/>
        </w:r>
        <w:r>
          <w:rPr>
            <w:noProof/>
            <w:webHidden/>
          </w:rPr>
          <w:instrText xml:space="preserve"> PAGEREF _Toc280786852 \h </w:instrText>
        </w:r>
        <w:r>
          <w:rPr>
            <w:noProof/>
            <w:webHidden/>
          </w:rPr>
        </w:r>
        <w:r>
          <w:rPr>
            <w:noProof/>
            <w:webHidden/>
          </w:rPr>
          <w:fldChar w:fldCharType="separate"/>
        </w:r>
        <w:r>
          <w:rPr>
            <w:noProof/>
            <w:webHidden/>
          </w:rPr>
          <w:t>107</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53" w:history="1">
        <w:r w:rsidRPr="00FC139F">
          <w:rPr>
            <w:rStyle w:val="Hyperlink"/>
            <w:noProof/>
          </w:rPr>
          <w:t>5.1.7.</w:t>
        </w:r>
        <w:r>
          <w:rPr>
            <w:rFonts w:asciiTheme="minorHAnsi" w:eastAsiaTheme="minorEastAsia" w:hAnsiTheme="minorHAnsi" w:cstheme="minorBidi"/>
            <w:noProof/>
            <w:sz w:val="22"/>
            <w:szCs w:val="22"/>
          </w:rPr>
          <w:tab/>
        </w:r>
        <w:r w:rsidRPr="00FC139F">
          <w:rPr>
            <w:rStyle w:val="Hyperlink"/>
            <w:noProof/>
          </w:rPr>
          <w:t>Mezőgazdasági és erdészeti termékek értéknövelése (123. intézkedés)</w:t>
        </w:r>
        <w:r>
          <w:rPr>
            <w:noProof/>
            <w:webHidden/>
          </w:rPr>
          <w:tab/>
        </w:r>
        <w:r>
          <w:rPr>
            <w:noProof/>
            <w:webHidden/>
          </w:rPr>
          <w:fldChar w:fldCharType="begin"/>
        </w:r>
        <w:r>
          <w:rPr>
            <w:noProof/>
            <w:webHidden/>
          </w:rPr>
          <w:instrText xml:space="preserve"> PAGEREF _Toc280786853 \h </w:instrText>
        </w:r>
        <w:r>
          <w:rPr>
            <w:noProof/>
            <w:webHidden/>
          </w:rPr>
        </w:r>
        <w:r>
          <w:rPr>
            <w:noProof/>
            <w:webHidden/>
          </w:rPr>
          <w:fldChar w:fldCharType="separate"/>
        </w:r>
        <w:r>
          <w:rPr>
            <w:noProof/>
            <w:webHidden/>
          </w:rPr>
          <w:t>110</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54" w:history="1">
        <w:r w:rsidRPr="00FC139F">
          <w:rPr>
            <w:rStyle w:val="Hyperlink"/>
            <w:noProof/>
          </w:rPr>
          <w:t>5.1.8.</w:t>
        </w:r>
        <w:r>
          <w:rPr>
            <w:rFonts w:asciiTheme="minorHAnsi" w:eastAsiaTheme="minorEastAsia" w:hAnsiTheme="minorHAnsi" w:cstheme="minorBidi"/>
            <w:noProof/>
            <w:sz w:val="22"/>
            <w:szCs w:val="22"/>
          </w:rPr>
          <w:tab/>
        </w:r>
        <w:r w:rsidRPr="00FC139F">
          <w:rPr>
            <w:rStyle w:val="Hyperlink"/>
            <w:noProof/>
          </w:rPr>
          <w:t>Mezőgazdasági és erdészeti infrastruktúra (125. intézkedés)</w:t>
        </w:r>
        <w:r>
          <w:rPr>
            <w:noProof/>
            <w:webHidden/>
          </w:rPr>
          <w:tab/>
        </w:r>
        <w:r>
          <w:rPr>
            <w:noProof/>
            <w:webHidden/>
          </w:rPr>
          <w:fldChar w:fldCharType="begin"/>
        </w:r>
        <w:r>
          <w:rPr>
            <w:noProof/>
            <w:webHidden/>
          </w:rPr>
          <w:instrText xml:space="preserve"> PAGEREF _Toc280786854 \h </w:instrText>
        </w:r>
        <w:r>
          <w:rPr>
            <w:noProof/>
            <w:webHidden/>
          </w:rPr>
        </w:r>
        <w:r>
          <w:rPr>
            <w:noProof/>
            <w:webHidden/>
          </w:rPr>
          <w:fldChar w:fldCharType="separate"/>
        </w:r>
        <w:r>
          <w:rPr>
            <w:noProof/>
            <w:webHidden/>
          </w:rPr>
          <w:t>117</w:t>
        </w:r>
        <w:r>
          <w:rPr>
            <w:noProof/>
            <w:webHidden/>
          </w:rPr>
          <w:fldChar w:fldCharType="end"/>
        </w:r>
      </w:hyperlink>
    </w:p>
    <w:p w:rsidR="00DD5284" w:rsidRDefault="00DD5284">
      <w:pPr>
        <w:pStyle w:val="TOC3"/>
        <w:rPr>
          <w:rFonts w:asciiTheme="minorHAnsi" w:eastAsiaTheme="minorEastAsia" w:hAnsiTheme="minorHAnsi" w:cstheme="minorBidi"/>
          <w:noProof/>
          <w:sz w:val="22"/>
          <w:szCs w:val="22"/>
        </w:rPr>
      </w:pPr>
      <w:hyperlink w:anchor="_Toc280786855" w:history="1">
        <w:r w:rsidRPr="00FC139F">
          <w:rPr>
            <w:rStyle w:val="Hyperlink"/>
            <w:noProof/>
          </w:rPr>
          <w:t>5.1.9.</w:t>
        </w:r>
        <w:r>
          <w:rPr>
            <w:rFonts w:asciiTheme="minorHAnsi" w:eastAsiaTheme="minorEastAsia" w:hAnsiTheme="minorHAnsi" w:cstheme="minorBidi"/>
            <w:noProof/>
            <w:sz w:val="22"/>
            <w:szCs w:val="22"/>
          </w:rPr>
          <w:tab/>
        </w:r>
        <w:r w:rsidRPr="00FC139F">
          <w:rPr>
            <w:rStyle w:val="Hyperlink"/>
            <w:noProof/>
          </w:rPr>
          <w:t>Termelői csoportok (142. intézkedés)</w:t>
        </w:r>
        <w:r>
          <w:rPr>
            <w:noProof/>
            <w:webHidden/>
          </w:rPr>
          <w:tab/>
        </w:r>
        <w:r>
          <w:rPr>
            <w:noProof/>
            <w:webHidden/>
          </w:rPr>
          <w:fldChar w:fldCharType="begin"/>
        </w:r>
        <w:r>
          <w:rPr>
            <w:noProof/>
            <w:webHidden/>
          </w:rPr>
          <w:instrText xml:space="preserve"> PAGEREF _Toc280786855 \h </w:instrText>
        </w:r>
        <w:r>
          <w:rPr>
            <w:noProof/>
            <w:webHidden/>
          </w:rPr>
        </w:r>
        <w:r>
          <w:rPr>
            <w:noProof/>
            <w:webHidden/>
          </w:rPr>
          <w:fldChar w:fldCharType="separate"/>
        </w:r>
        <w:r>
          <w:rPr>
            <w:noProof/>
            <w:webHidden/>
          </w:rPr>
          <w:t>120</w:t>
        </w:r>
        <w:r>
          <w:rPr>
            <w:noProof/>
            <w:webHidden/>
          </w:rPr>
          <w:fldChar w:fldCharType="end"/>
        </w:r>
      </w:hyperlink>
    </w:p>
    <w:p w:rsidR="00C2529D" w:rsidRPr="00F64639" w:rsidRDefault="00075A29" w:rsidP="008452C0">
      <w:pPr>
        <w:pStyle w:val="HUNNormal"/>
      </w:pPr>
      <w:r w:rsidRPr="00F64639">
        <w:rPr>
          <w:noProof/>
        </w:rPr>
        <w:fldChar w:fldCharType="end"/>
      </w: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3369"/>
        <w:gridCol w:w="2126"/>
        <w:gridCol w:w="3808"/>
      </w:tblGrid>
      <w:tr w:rsidR="008452C0" w:rsidRPr="00F64639" w:rsidTr="00CC10EE">
        <w:tc>
          <w:tcPr>
            <w:tcW w:w="9303" w:type="dxa"/>
            <w:gridSpan w:val="3"/>
            <w:shd w:val="clear" w:color="auto" w:fill="EFD3D2"/>
          </w:tcPr>
          <w:p w:rsidR="008452C0" w:rsidRPr="00F64639" w:rsidRDefault="008452C0" w:rsidP="00CC10EE">
            <w:pPr>
              <w:jc w:val="center"/>
              <w:rPr>
                <w:b/>
                <w:bCs/>
                <w:sz w:val="24"/>
                <w:szCs w:val="24"/>
              </w:rPr>
            </w:pPr>
            <w:r w:rsidRPr="00F64639">
              <w:rPr>
                <w:b/>
                <w:bCs/>
                <w:smallCaps/>
                <w:sz w:val="24"/>
                <w:szCs w:val="24"/>
              </w:rPr>
              <w:t>Verziókövetési információk</w:t>
            </w:r>
          </w:p>
        </w:tc>
      </w:tr>
      <w:tr w:rsidR="008452C0" w:rsidRPr="00F64639" w:rsidTr="009D736A">
        <w:tc>
          <w:tcPr>
            <w:tcW w:w="3369" w:type="dxa"/>
            <w:shd w:val="clear" w:color="auto" w:fill="DFA7A6"/>
          </w:tcPr>
          <w:p w:rsidR="008452C0" w:rsidRPr="00F64639" w:rsidRDefault="008452C0" w:rsidP="00CC10EE">
            <w:pPr>
              <w:jc w:val="center"/>
              <w:rPr>
                <w:b/>
                <w:bCs/>
                <w:sz w:val="22"/>
                <w:szCs w:val="22"/>
              </w:rPr>
            </w:pPr>
            <w:r w:rsidRPr="00F64639">
              <w:rPr>
                <w:b/>
                <w:bCs/>
                <w:sz w:val="22"/>
                <w:szCs w:val="22"/>
              </w:rPr>
              <w:t>Verzió száma:</w:t>
            </w:r>
          </w:p>
        </w:tc>
        <w:tc>
          <w:tcPr>
            <w:tcW w:w="5934" w:type="dxa"/>
            <w:gridSpan w:val="2"/>
            <w:shd w:val="clear" w:color="auto" w:fill="DFA7A6"/>
          </w:tcPr>
          <w:p w:rsidR="008452C0" w:rsidRPr="00F64639" w:rsidRDefault="008452C0" w:rsidP="0020059A">
            <w:pPr>
              <w:rPr>
                <w:sz w:val="22"/>
                <w:szCs w:val="22"/>
              </w:rPr>
            </w:pPr>
            <w:r w:rsidRPr="00F64639">
              <w:rPr>
                <w:sz w:val="22"/>
                <w:szCs w:val="22"/>
              </w:rPr>
              <w:t>v</w:t>
            </w:r>
            <w:r w:rsidR="008915AD" w:rsidRPr="00F64639">
              <w:rPr>
                <w:sz w:val="22"/>
                <w:szCs w:val="22"/>
              </w:rPr>
              <w:t>2</w:t>
            </w:r>
            <w:r w:rsidR="00596A6F">
              <w:rPr>
                <w:sz w:val="22"/>
                <w:szCs w:val="22"/>
              </w:rPr>
              <w:t>6</w:t>
            </w:r>
          </w:p>
        </w:tc>
      </w:tr>
      <w:tr w:rsidR="008452C0" w:rsidRPr="00F64639" w:rsidTr="009D736A">
        <w:tc>
          <w:tcPr>
            <w:tcW w:w="3369" w:type="dxa"/>
            <w:shd w:val="clear" w:color="auto" w:fill="EFD3D2"/>
          </w:tcPr>
          <w:p w:rsidR="008452C0" w:rsidRPr="00F64639" w:rsidRDefault="008452C0" w:rsidP="00CC10EE">
            <w:pPr>
              <w:jc w:val="center"/>
              <w:rPr>
                <w:b/>
                <w:bCs/>
                <w:sz w:val="22"/>
                <w:szCs w:val="22"/>
              </w:rPr>
            </w:pPr>
            <w:r w:rsidRPr="00F64639">
              <w:rPr>
                <w:b/>
                <w:bCs/>
                <w:sz w:val="22"/>
                <w:szCs w:val="22"/>
              </w:rPr>
              <w:t>Utoljára módosította:</w:t>
            </w:r>
          </w:p>
        </w:tc>
        <w:tc>
          <w:tcPr>
            <w:tcW w:w="5934" w:type="dxa"/>
            <w:gridSpan w:val="2"/>
            <w:shd w:val="clear" w:color="auto" w:fill="EFD3D2"/>
          </w:tcPr>
          <w:p w:rsidR="008452C0" w:rsidRPr="00F64639" w:rsidRDefault="0049202E" w:rsidP="00CC10EE">
            <w:pPr>
              <w:rPr>
                <w:sz w:val="22"/>
                <w:szCs w:val="22"/>
              </w:rPr>
            </w:pPr>
            <w:r>
              <w:rPr>
                <w:sz w:val="22"/>
                <w:szCs w:val="22"/>
              </w:rPr>
              <w:t>Cserneczky Tamás</w:t>
            </w:r>
          </w:p>
        </w:tc>
      </w:tr>
      <w:tr w:rsidR="008452C0" w:rsidRPr="00F64639" w:rsidTr="009D736A">
        <w:tc>
          <w:tcPr>
            <w:tcW w:w="3369" w:type="dxa"/>
            <w:shd w:val="clear" w:color="auto" w:fill="DFA7A6"/>
          </w:tcPr>
          <w:p w:rsidR="008452C0" w:rsidRPr="00F64639" w:rsidRDefault="008452C0" w:rsidP="00CC10EE">
            <w:pPr>
              <w:jc w:val="center"/>
              <w:rPr>
                <w:b/>
                <w:bCs/>
                <w:sz w:val="22"/>
                <w:szCs w:val="22"/>
              </w:rPr>
            </w:pPr>
            <w:r w:rsidRPr="00F64639">
              <w:rPr>
                <w:b/>
                <w:bCs/>
                <w:sz w:val="22"/>
                <w:szCs w:val="22"/>
              </w:rPr>
              <w:t>Módosítás indoka:</w:t>
            </w:r>
          </w:p>
        </w:tc>
        <w:tc>
          <w:tcPr>
            <w:tcW w:w="5934" w:type="dxa"/>
            <w:gridSpan w:val="2"/>
            <w:shd w:val="clear" w:color="auto" w:fill="DFA7A6"/>
          </w:tcPr>
          <w:p w:rsidR="008452C0" w:rsidRPr="00F64639" w:rsidRDefault="0049202E" w:rsidP="00045067">
            <w:pPr>
              <w:jc w:val="both"/>
              <w:rPr>
                <w:sz w:val="22"/>
                <w:szCs w:val="22"/>
              </w:rPr>
            </w:pPr>
            <w:r>
              <w:rPr>
                <w:sz w:val="22"/>
                <w:szCs w:val="22"/>
              </w:rPr>
              <w:t>A VM szakfőosztálya és a Monitoring Bizottság tagjai által küldött észrevételek átvezetése</w:t>
            </w:r>
          </w:p>
        </w:tc>
      </w:tr>
      <w:tr w:rsidR="008452C0" w:rsidRPr="00F64639" w:rsidTr="00FF28F8">
        <w:tc>
          <w:tcPr>
            <w:tcW w:w="5495" w:type="dxa"/>
            <w:gridSpan w:val="2"/>
            <w:shd w:val="clear" w:color="auto" w:fill="EFD3D2"/>
          </w:tcPr>
          <w:p w:rsidR="008452C0" w:rsidRPr="007A3B59" w:rsidRDefault="008452C0" w:rsidP="00CC10EE">
            <w:pPr>
              <w:jc w:val="center"/>
              <w:rPr>
                <w:b/>
                <w:bCs/>
                <w:sz w:val="22"/>
                <w:szCs w:val="22"/>
              </w:rPr>
            </w:pPr>
            <w:r w:rsidRPr="007A3B59">
              <w:rPr>
                <w:b/>
                <w:bCs/>
                <w:sz w:val="22"/>
                <w:szCs w:val="22"/>
              </w:rPr>
              <w:t>Jóváhagyta a HUNGARIKUM konzorcium részéről (név/dátum)</w:t>
            </w:r>
          </w:p>
        </w:tc>
        <w:tc>
          <w:tcPr>
            <w:tcW w:w="3808" w:type="dxa"/>
            <w:shd w:val="clear" w:color="auto" w:fill="EFD3D2"/>
          </w:tcPr>
          <w:p w:rsidR="008452C0" w:rsidRPr="00F64639" w:rsidRDefault="003609A1" w:rsidP="00596A6F">
            <w:pPr>
              <w:rPr>
                <w:sz w:val="22"/>
                <w:szCs w:val="22"/>
              </w:rPr>
            </w:pPr>
            <w:r w:rsidRPr="007A3B59">
              <w:rPr>
                <w:sz w:val="22"/>
                <w:szCs w:val="22"/>
              </w:rPr>
              <w:t>Cserneczky Tamás</w:t>
            </w:r>
            <w:r w:rsidR="004B06D0" w:rsidRPr="007A3B59">
              <w:rPr>
                <w:sz w:val="22"/>
                <w:szCs w:val="22"/>
              </w:rPr>
              <w:t xml:space="preserve"> (</w:t>
            </w:r>
            <w:r w:rsidR="0011356F" w:rsidRPr="007A3B59">
              <w:rPr>
                <w:sz w:val="22"/>
                <w:szCs w:val="22"/>
              </w:rPr>
              <w:t>2010.1</w:t>
            </w:r>
            <w:r w:rsidR="007F5ACB" w:rsidRPr="007A3B59">
              <w:rPr>
                <w:sz w:val="22"/>
                <w:szCs w:val="22"/>
              </w:rPr>
              <w:t>2</w:t>
            </w:r>
            <w:r w:rsidR="0011356F" w:rsidRPr="007A3B59">
              <w:rPr>
                <w:sz w:val="22"/>
                <w:szCs w:val="22"/>
              </w:rPr>
              <w:t>.</w:t>
            </w:r>
            <w:r w:rsidR="007A3B59" w:rsidRPr="007A3B59">
              <w:rPr>
                <w:sz w:val="22"/>
                <w:szCs w:val="22"/>
              </w:rPr>
              <w:t>2</w:t>
            </w:r>
            <w:r w:rsidR="00596A6F">
              <w:rPr>
                <w:sz w:val="22"/>
                <w:szCs w:val="22"/>
              </w:rPr>
              <w:t>2</w:t>
            </w:r>
            <w:r w:rsidR="004B06D0" w:rsidRPr="007A3B59">
              <w:rPr>
                <w:sz w:val="22"/>
                <w:szCs w:val="22"/>
              </w:rPr>
              <w:t>)</w:t>
            </w:r>
          </w:p>
        </w:tc>
      </w:tr>
    </w:tbl>
    <w:p w:rsidR="009A6C85" w:rsidRPr="00F64639" w:rsidRDefault="009A6C85" w:rsidP="0020059A">
      <w:pPr>
        <w:jc w:val="both"/>
        <w:rPr>
          <w:lang w:eastAsia="en-US"/>
        </w:rPr>
      </w:pPr>
      <w:r w:rsidRPr="00F64639">
        <w:rPr>
          <w:lang w:eastAsia="en-US"/>
        </w:rPr>
        <w:br w:type="page"/>
      </w:r>
    </w:p>
    <w:p w:rsidR="00906361" w:rsidRDefault="007A3B59" w:rsidP="007A3B59">
      <w:pPr>
        <w:pStyle w:val="HUNHeading1"/>
      </w:pPr>
      <w:bookmarkStart w:id="0" w:name="_Toc280786845"/>
      <w:r w:rsidRPr="007A3B59">
        <w:lastRenderedPageBreak/>
        <w:t xml:space="preserve">A program, az intézkedések </w:t>
      </w:r>
      <w:proofErr w:type="gramStart"/>
      <w:r w:rsidRPr="007A3B59">
        <w:t>és</w:t>
      </w:r>
      <w:proofErr w:type="gramEnd"/>
      <w:r w:rsidRPr="007A3B59">
        <w:t xml:space="preserve"> a költségvetés leírása</w:t>
      </w:r>
      <w:bookmarkEnd w:id="0"/>
    </w:p>
    <w:p w:rsidR="007A3B59" w:rsidRPr="007A3B59" w:rsidRDefault="007A3B59" w:rsidP="007A3B59">
      <w:pPr>
        <w:pStyle w:val="HUNNormal"/>
      </w:pPr>
      <w:r>
        <w:t>Jelen fejezetben először az egyes intézkedések értékelését mutatjuk be, majd ezekre építve a tengelyek és a teljes Program megvalósulását értékeljük. Mind az intézkedéseknél, mind a Program szintjén bemutatásra kerül</w:t>
      </w:r>
      <w:r w:rsidR="00E60698">
        <w:t>nek</w:t>
      </w:r>
      <w:r>
        <w:t xml:space="preserve"> a </w:t>
      </w:r>
      <w:r w:rsidR="00E60698">
        <w:t>pénzügyi keretek és azok státusza</w:t>
      </w:r>
      <w:r>
        <w:t xml:space="preserve"> is.</w:t>
      </w:r>
    </w:p>
    <w:p w:rsidR="007A3B59" w:rsidRPr="007A3B59" w:rsidRDefault="007A3B59" w:rsidP="007A3B59">
      <w:pPr>
        <w:pStyle w:val="StyleHUNHeading2Justified"/>
        <w:tabs>
          <w:tab w:val="clear" w:pos="567"/>
          <w:tab w:val="left" w:pos="709"/>
        </w:tabs>
        <w:ind w:left="432"/>
      </w:pPr>
      <w:bookmarkStart w:id="1" w:name="_Toc280786846"/>
      <w:r>
        <w:t>Az I. tengely intézkedéseinek értékelése</w:t>
      </w:r>
      <w:bookmarkEnd w:id="1"/>
    </w:p>
    <w:p w:rsidR="004059D6" w:rsidRPr="00F64639" w:rsidRDefault="00BA3419" w:rsidP="007A3B59">
      <w:pPr>
        <w:pStyle w:val="HUNHeading3"/>
        <w:ind w:hanging="1224"/>
      </w:pPr>
      <w:bookmarkStart w:id="2" w:name="_Toc280786847"/>
      <w:r w:rsidRPr="00F64639">
        <w:t xml:space="preserve">Szakképzési és tájékoztatási tevékenységek </w:t>
      </w:r>
      <w:r w:rsidR="0052161C" w:rsidRPr="00F64639">
        <w:t>(</w:t>
      </w:r>
      <w:r w:rsidRPr="00F64639">
        <w:t>111. intézkedés</w:t>
      </w:r>
      <w:r w:rsidR="0052161C" w:rsidRPr="00F64639">
        <w:t>)</w:t>
      </w:r>
      <w:bookmarkEnd w:id="2"/>
    </w:p>
    <w:p w:rsidR="001026C8" w:rsidRPr="00F64639" w:rsidRDefault="007A0CA2" w:rsidP="00BA3419">
      <w:pPr>
        <w:pStyle w:val="HUNNormal"/>
        <w:tabs>
          <w:tab w:val="left" w:pos="709"/>
        </w:tabs>
        <w:rPr>
          <w:iCs/>
          <w:szCs w:val="22"/>
        </w:rPr>
      </w:pPr>
      <w:r w:rsidRPr="00F64639">
        <w:t xml:space="preserve">A szakképzési és tájékoztatási tevékenységek intézkedés (111) </w:t>
      </w:r>
      <w:r w:rsidRPr="00F64639">
        <w:rPr>
          <w:iCs/>
          <w:szCs w:val="22"/>
        </w:rPr>
        <w:t xml:space="preserve">általános </w:t>
      </w:r>
      <w:r w:rsidRPr="00F64639">
        <w:rPr>
          <w:b/>
          <w:iCs/>
          <w:szCs w:val="22"/>
        </w:rPr>
        <w:t>célja</w:t>
      </w:r>
      <w:r w:rsidRPr="00F64639">
        <w:rPr>
          <w:iCs/>
          <w:szCs w:val="22"/>
        </w:rPr>
        <w:t xml:space="preserve"> az </w:t>
      </w:r>
      <w:r w:rsidRPr="00F64639">
        <w:rPr>
          <w:b/>
          <w:iCs/>
          <w:szCs w:val="22"/>
        </w:rPr>
        <w:t>agrárágazatban dolgozók</w:t>
      </w:r>
      <w:r w:rsidRPr="00F64639">
        <w:rPr>
          <w:iCs/>
          <w:szCs w:val="22"/>
        </w:rPr>
        <w:t xml:space="preserve"> (mezőgazdaság, erdészet) </w:t>
      </w:r>
      <w:r w:rsidRPr="00F64639">
        <w:rPr>
          <w:b/>
          <w:iCs/>
          <w:szCs w:val="22"/>
        </w:rPr>
        <w:t>szaktudásának</w:t>
      </w:r>
      <w:r w:rsidRPr="00F64639">
        <w:rPr>
          <w:iCs/>
          <w:szCs w:val="22"/>
        </w:rPr>
        <w:t xml:space="preserve"> </w:t>
      </w:r>
      <w:r w:rsidRPr="00F64639">
        <w:rPr>
          <w:b/>
          <w:iCs/>
          <w:szCs w:val="22"/>
        </w:rPr>
        <w:t>növelése</w:t>
      </w:r>
      <w:r w:rsidRPr="00F64639">
        <w:rPr>
          <w:iCs/>
          <w:szCs w:val="22"/>
        </w:rPr>
        <w:t xml:space="preserve"> annak érdekében, hogy </w:t>
      </w:r>
      <w:r w:rsidRPr="00F64639">
        <w:rPr>
          <w:b/>
          <w:iCs/>
          <w:szCs w:val="22"/>
        </w:rPr>
        <w:t>versenyképességük</w:t>
      </w:r>
      <w:r w:rsidRPr="00F64639">
        <w:rPr>
          <w:iCs/>
          <w:szCs w:val="22"/>
        </w:rPr>
        <w:t xml:space="preserve"> és gazdá</w:t>
      </w:r>
      <w:r w:rsidRPr="00F64639">
        <w:rPr>
          <w:iCs/>
          <w:szCs w:val="22"/>
        </w:rPr>
        <w:t>l</w:t>
      </w:r>
      <w:r w:rsidRPr="00F64639">
        <w:rPr>
          <w:iCs/>
          <w:szCs w:val="22"/>
        </w:rPr>
        <w:t xml:space="preserve">kodásuk </w:t>
      </w:r>
      <w:r w:rsidRPr="00F64639">
        <w:rPr>
          <w:b/>
          <w:iCs/>
          <w:szCs w:val="22"/>
        </w:rPr>
        <w:t>fenntarthatósága</w:t>
      </w:r>
      <w:r w:rsidRPr="00F64639">
        <w:rPr>
          <w:iCs/>
          <w:szCs w:val="22"/>
        </w:rPr>
        <w:t xml:space="preserve"> </w:t>
      </w:r>
      <w:r w:rsidRPr="00F64639">
        <w:rPr>
          <w:b/>
          <w:iCs/>
          <w:szCs w:val="22"/>
        </w:rPr>
        <w:t>javuljon</w:t>
      </w:r>
      <w:r w:rsidRPr="00F64639">
        <w:rPr>
          <w:iCs/>
          <w:szCs w:val="22"/>
        </w:rPr>
        <w:t xml:space="preserve">. Az intézkedés </w:t>
      </w:r>
      <w:r w:rsidRPr="00F64639">
        <w:rPr>
          <w:b/>
          <w:iCs/>
          <w:szCs w:val="22"/>
        </w:rPr>
        <w:t>három</w:t>
      </w:r>
      <w:r w:rsidRPr="00F64639">
        <w:rPr>
          <w:iCs/>
          <w:szCs w:val="22"/>
        </w:rPr>
        <w:t xml:space="preserve"> </w:t>
      </w:r>
      <w:r w:rsidRPr="00F64639">
        <w:rPr>
          <w:b/>
          <w:iCs/>
          <w:szCs w:val="22"/>
        </w:rPr>
        <w:t>jogcímből</w:t>
      </w:r>
      <w:r w:rsidRPr="00F64639">
        <w:rPr>
          <w:iCs/>
          <w:szCs w:val="22"/>
        </w:rPr>
        <w:t xml:space="preserve"> áll, melyek közül kettő került meghird</w:t>
      </w:r>
      <w:r w:rsidRPr="00F64639">
        <w:rPr>
          <w:iCs/>
          <w:szCs w:val="22"/>
        </w:rPr>
        <w:t>e</w:t>
      </w:r>
      <w:r w:rsidRPr="00F64639">
        <w:rPr>
          <w:iCs/>
          <w:szCs w:val="22"/>
        </w:rPr>
        <w:t>tésre a 2007-2010 közötti időszakban:</w:t>
      </w:r>
    </w:p>
    <w:p w:rsidR="007A0CA2" w:rsidRPr="00F64639" w:rsidRDefault="00CA5FB9" w:rsidP="00DF4BBF">
      <w:pPr>
        <w:numPr>
          <w:ilvl w:val="0"/>
          <w:numId w:val="13"/>
        </w:numPr>
        <w:ind w:left="714" w:hanging="357"/>
        <w:jc w:val="both"/>
        <w:rPr>
          <w:iCs/>
          <w:szCs w:val="22"/>
        </w:rPr>
      </w:pPr>
      <w:r w:rsidRPr="00F64639">
        <w:rPr>
          <w:b/>
          <w:iCs/>
          <w:szCs w:val="22"/>
        </w:rPr>
        <w:t xml:space="preserve">111.1. </w:t>
      </w:r>
      <w:r w:rsidR="003F1EA3" w:rsidRPr="00F64639">
        <w:rPr>
          <w:b/>
          <w:iCs/>
          <w:szCs w:val="22"/>
        </w:rPr>
        <w:t>Komplex tájékoztatási tevékenység: gazdálkodói információs szolgálat</w:t>
      </w:r>
      <w:r w:rsidR="007A0CA2" w:rsidRPr="00F64639">
        <w:rPr>
          <w:iCs/>
          <w:szCs w:val="22"/>
        </w:rPr>
        <w:t xml:space="preserve">: 2007-ben indult, </w:t>
      </w:r>
      <w:r w:rsidRPr="00F64639">
        <w:rPr>
          <w:iCs/>
          <w:szCs w:val="22"/>
        </w:rPr>
        <w:t>megvalósítója a</w:t>
      </w:r>
      <w:r w:rsidR="007A0CA2" w:rsidRPr="00F64639">
        <w:rPr>
          <w:iCs/>
          <w:szCs w:val="22"/>
        </w:rPr>
        <w:t xml:space="preserve"> Magyar Agrárkamara;</w:t>
      </w:r>
    </w:p>
    <w:p w:rsidR="007A0CA2" w:rsidRPr="00F64639" w:rsidRDefault="00CA5FB9" w:rsidP="00DF4BBF">
      <w:pPr>
        <w:numPr>
          <w:ilvl w:val="0"/>
          <w:numId w:val="13"/>
        </w:numPr>
        <w:ind w:left="714" w:hanging="357"/>
        <w:jc w:val="both"/>
        <w:rPr>
          <w:iCs/>
          <w:szCs w:val="22"/>
        </w:rPr>
      </w:pPr>
      <w:r w:rsidRPr="00F64639">
        <w:rPr>
          <w:b/>
          <w:iCs/>
          <w:szCs w:val="22"/>
        </w:rPr>
        <w:t xml:space="preserve">111.2. </w:t>
      </w:r>
      <w:r w:rsidR="007A0CA2" w:rsidRPr="00F64639">
        <w:rPr>
          <w:b/>
          <w:iCs/>
          <w:szCs w:val="22"/>
        </w:rPr>
        <w:t>Innovatív technológiák elterjesztése bemutató-üzemi projektek útján gazdaságokban és e</w:t>
      </w:r>
      <w:r w:rsidR="007A0CA2" w:rsidRPr="00F64639">
        <w:rPr>
          <w:b/>
          <w:iCs/>
          <w:szCs w:val="22"/>
        </w:rPr>
        <w:t>r</w:t>
      </w:r>
      <w:r w:rsidR="007A0CA2" w:rsidRPr="00F64639">
        <w:rPr>
          <w:b/>
          <w:iCs/>
          <w:szCs w:val="22"/>
        </w:rPr>
        <w:t>dészetekben</w:t>
      </w:r>
      <w:r w:rsidR="007A0CA2" w:rsidRPr="00F64639">
        <w:rPr>
          <w:iCs/>
          <w:szCs w:val="22"/>
        </w:rPr>
        <w:t xml:space="preserve">: bár meghirdetését eredetileg 2010-ben tervezték, </w:t>
      </w:r>
      <w:r w:rsidRPr="00F64639">
        <w:rPr>
          <w:iCs/>
          <w:szCs w:val="22"/>
        </w:rPr>
        <w:t>a félidei értékelés megkezdéséig</w:t>
      </w:r>
      <w:r w:rsidR="007A0CA2" w:rsidRPr="00F64639">
        <w:rPr>
          <w:iCs/>
          <w:szCs w:val="22"/>
        </w:rPr>
        <w:t xml:space="preserve"> a jogcím nem került meghirdetésre;</w:t>
      </w:r>
    </w:p>
    <w:p w:rsidR="008B122E" w:rsidRPr="00F64639" w:rsidRDefault="00CA5FB9" w:rsidP="00DF4BBF">
      <w:pPr>
        <w:numPr>
          <w:ilvl w:val="0"/>
          <w:numId w:val="13"/>
        </w:numPr>
        <w:ind w:left="714" w:hanging="357"/>
        <w:jc w:val="both"/>
        <w:rPr>
          <w:iCs/>
          <w:szCs w:val="22"/>
        </w:rPr>
      </w:pPr>
      <w:r w:rsidRPr="00F64639">
        <w:rPr>
          <w:b/>
          <w:iCs/>
          <w:szCs w:val="22"/>
        </w:rPr>
        <w:t xml:space="preserve">111.3 </w:t>
      </w:r>
      <w:r w:rsidR="007A0CA2" w:rsidRPr="00F64639">
        <w:rPr>
          <w:b/>
          <w:iCs/>
          <w:szCs w:val="22"/>
        </w:rPr>
        <w:t>Mezőgazdasághoz és erdőgazdálkodáshoz kapcsolódó szakmai</w:t>
      </w:r>
      <w:r w:rsidR="007A0CA2" w:rsidRPr="00F64639">
        <w:rPr>
          <w:b/>
          <w:i/>
          <w:iCs/>
          <w:szCs w:val="22"/>
        </w:rPr>
        <w:t xml:space="preserve"> </w:t>
      </w:r>
      <w:r w:rsidR="007A0CA2" w:rsidRPr="00F64639">
        <w:rPr>
          <w:b/>
          <w:iCs/>
          <w:szCs w:val="22"/>
        </w:rPr>
        <w:t>képzések</w:t>
      </w:r>
      <w:r w:rsidR="007A0CA2" w:rsidRPr="00F64639">
        <w:rPr>
          <w:iCs/>
          <w:szCs w:val="22"/>
        </w:rPr>
        <w:t xml:space="preserve">: </w:t>
      </w:r>
      <w:r w:rsidR="004C5A58" w:rsidRPr="00F64639">
        <w:rPr>
          <w:iCs/>
          <w:szCs w:val="22"/>
        </w:rPr>
        <w:t>az ÚMVP</w:t>
      </w:r>
      <w:r w:rsidR="007A0CA2" w:rsidRPr="00F64639">
        <w:rPr>
          <w:iCs/>
          <w:szCs w:val="22"/>
        </w:rPr>
        <w:t xml:space="preserve"> I. és II. intézkedéscsoportjához kapcsolódó </w:t>
      </w:r>
      <w:r w:rsidR="001B5E31" w:rsidRPr="00F64639">
        <w:rPr>
          <w:iCs/>
          <w:szCs w:val="22"/>
        </w:rPr>
        <w:t>kötelező</w:t>
      </w:r>
      <w:r w:rsidR="004C5A58" w:rsidRPr="00F64639">
        <w:rPr>
          <w:iCs/>
          <w:szCs w:val="22"/>
        </w:rPr>
        <w:t xml:space="preserve"> és </w:t>
      </w:r>
      <w:r w:rsidR="001B5E31" w:rsidRPr="00F64639">
        <w:rPr>
          <w:iCs/>
          <w:szCs w:val="22"/>
        </w:rPr>
        <w:t>szabadon választható</w:t>
      </w:r>
      <w:r w:rsidR="004C5A58" w:rsidRPr="00F64639">
        <w:rPr>
          <w:iCs/>
          <w:szCs w:val="22"/>
        </w:rPr>
        <w:t xml:space="preserve"> ké</w:t>
      </w:r>
      <w:r w:rsidR="008B122E" w:rsidRPr="00F64639">
        <w:rPr>
          <w:iCs/>
          <w:szCs w:val="22"/>
        </w:rPr>
        <w:t>p</w:t>
      </w:r>
      <w:r w:rsidR="004C5A58" w:rsidRPr="00F64639">
        <w:rPr>
          <w:iCs/>
          <w:szCs w:val="22"/>
        </w:rPr>
        <w:t>zések, mely jogcím 2008-ban került</w:t>
      </w:r>
      <w:r w:rsidRPr="00F64639">
        <w:rPr>
          <w:iCs/>
          <w:szCs w:val="22"/>
        </w:rPr>
        <w:t xml:space="preserve"> meghirdetésre</w:t>
      </w:r>
      <w:r w:rsidR="004C5A58" w:rsidRPr="00F64639">
        <w:rPr>
          <w:iCs/>
          <w:szCs w:val="22"/>
        </w:rPr>
        <w:t>.</w:t>
      </w:r>
    </w:p>
    <w:p w:rsidR="007A0CA2" w:rsidRPr="00F64639" w:rsidRDefault="008B122E" w:rsidP="008B122E">
      <w:pPr>
        <w:jc w:val="both"/>
        <w:rPr>
          <w:iCs/>
          <w:szCs w:val="22"/>
        </w:rPr>
      </w:pPr>
      <w:r w:rsidRPr="00F64639">
        <w:rPr>
          <w:iCs/>
          <w:szCs w:val="22"/>
        </w:rPr>
        <w:t xml:space="preserve">A meghirdetett </w:t>
      </w:r>
      <w:r w:rsidR="00CA5FB9" w:rsidRPr="00F64639">
        <w:rPr>
          <w:iCs/>
          <w:szCs w:val="22"/>
        </w:rPr>
        <w:t>két</w:t>
      </w:r>
      <w:r w:rsidRPr="00F64639">
        <w:rPr>
          <w:iCs/>
          <w:szCs w:val="22"/>
        </w:rPr>
        <w:t xml:space="preserve"> jogcím az elmúlt 3 éves időszakban jelentősen nem változott: </w:t>
      </w:r>
      <w:r w:rsidR="00CA5FB9" w:rsidRPr="00F64639">
        <w:rPr>
          <w:iCs/>
          <w:szCs w:val="22"/>
        </w:rPr>
        <w:t xml:space="preserve">csak </w:t>
      </w:r>
      <w:r w:rsidRPr="00F64639">
        <w:rPr>
          <w:iCs/>
          <w:szCs w:val="22"/>
        </w:rPr>
        <w:t xml:space="preserve">a </w:t>
      </w:r>
      <w:r w:rsidR="001B5E31" w:rsidRPr="00F64639">
        <w:rPr>
          <w:iCs/>
          <w:szCs w:val="22"/>
        </w:rPr>
        <w:t>111.3.</w:t>
      </w:r>
      <w:r w:rsidRPr="00F64639">
        <w:rPr>
          <w:iCs/>
          <w:szCs w:val="22"/>
        </w:rPr>
        <w:t xml:space="preserve"> jogcím es</w:t>
      </w:r>
      <w:r w:rsidRPr="00F64639">
        <w:rPr>
          <w:iCs/>
          <w:szCs w:val="22"/>
        </w:rPr>
        <w:t>e</w:t>
      </w:r>
      <w:r w:rsidRPr="00F64639">
        <w:rPr>
          <w:iCs/>
          <w:szCs w:val="22"/>
        </w:rPr>
        <w:t>tében történt jogcímrendelet módosítás</w:t>
      </w:r>
      <w:r w:rsidRPr="00F64639">
        <w:rPr>
          <w:rStyle w:val="FootnoteReference"/>
          <w:iCs/>
          <w:szCs w:val="22"/>
        </w:rPr>
        <w:footnoteReference w:id="1"/>
      </w:r>
      <w:r w:rsidRPr="00F64639">
        <w:rPr>
          <w:iCs/>
          <w:szCs w:val="22"/>
        </w:rPr>
        <w:t xml:space="preserve"> 2009-ben (a támogatási/kifizetési </w:t>
      </w:r>
      <w:r w:rsidR="003E1739" w:rsidRPr="00F64639">
        <w:rPr>
          <w:iCs/>
          <w:szCs w:val="22"/>
        </w:rPr>
        <w:t>kérelmek elektronikus benyújt</w:t>
      </w:r>
      <w:r w:rsidR="003E1739" w:rsidRPr="00F64639">
        <w:rPr>
          <w:iCs/>
          <w:szCs w:val="22"/>
        </w:rPr>
        <w:t>á</w:t>
      </w:r>
      <w:r w:rsidR="003E1739" w:rsidRPr="00F64639">
        <w:rPr>
          <w:iCs/>
          <w:szCs w:val="22"/>
        </w:rPr>
        <w:t>sának lehetővé tétele</w:t>
      </w:r>
      <w:r w:rsidRPr="00F64639">
        <w:rPr>
          <w:iCs/>
          <w:szCs w:val="22"/>
        </w:rPr>
        <w:t xml:space="preserve">, a benyújtási határidők módosítása), valamint az intézkedés </w:t>
      </w:r>
      <w:r w:rsidR="00DC69C5" w:rsidRPr="00F64639">
        <w:rPr>
          <w:iCs/>
          <w:szCs w:val="22"/>
        </w:rPr>
        <w:t xml:space="preserve">rovására </w:t>
      </w:r>
      <w:r w:rsidRPr="00F64639">
        <w:rPr>
          <w:iCs/>
          <w:szCs w:val="22"/>
        </w:rPr>
        <w:t>történt forrásá</w:t>
      </w:r>
      <w:r w:rsidRPr="00F64639">
        <w:rPr>
          <w:iCs/>
          <w:szCs w:val="22"/>
        </w:rPr>
        <w:t>t</w:t>
      </w:r>
      <w:r w:rsidRPr="00F64639">
        <w:rPr>
          <w:iCs/>
          <w:szCs w:val="22"/>
        </w:rPr>
        <w:t>csoportosítás 2009-ben.</w:t>
      </w:r>
      <w:r w:rsidR="004D14B8" w:rsidRPr="00F64639">
        <w:rPr>
          <w:iCs/>
          <w:szCs w:val="22"/>
        </w:rPr>
        <w:t xml:space="preserve"> A </w:t>
      </w:r>
      <w:r w:rsidR="00B9215E" w:rsidRPr="00F64639">
        <w:rPr>
          <w:iCs/>
          <w:szCs w:val="22"/>
        </w:rPr>
        <w:t>111.3</w:t>
      </w:r>
      <w:r w:rsidR="004D14B8" w:rsidRPr="00F64639">
        <w:rPr>
          <w:iCs/>
          <w:szCs w:val="22"/>
        </w:rPr>
        <w:t xml:space="preserve"> jogcím esetében a kifizetési kérelem egyúttal támogatási kérelem is.</w:t>
      </w:r>
    </w:p>
    <w:p w:rsidR="00732BC6" w:rsidRPr="00F64639" w:rsidRDefault="00732BC6" w:rsidP="008B122E">
      <w:pPr>
        <w:jc w:val="both"/>
        <w:rPr>
          <w:iCs/>
          <w:szCs w:val="22"/>
        </w:rPr>
      </w:pPr>
      <w:r w:rsidRPr="00F64639">
        <w:rPr>
          <w:iCs/>
          <w:szCs w:val="22"/>
        </w:rPr>
        <w:t xml:space="preserve">A következő táblázat </w:t>
      </w:r>
      <w:r w:rsidR="004D5284" w:rsidRPr="00F64639">
        <w:rPr>
          <w:iCs/>
          <w:szCs w:val="22"/>
        </w:rPr>
        <w:t>szemlélteti</w:t>
      </w:r>
      <w:r w:rsidRPr="00F64639">
        <w:rPr>
          <w:iCs/>
          <w:szCs w:val="22"/>
        </w:rPr>
        <w:t xml:space="preserve"> az eddig meghirdetetett két jogcím főbb </w:t>
      </w:r>
      <w:r w:rsidR="00CA5FB9" w:rsidRPr="00F64639">
        <w:rPr>
          <w:iCs/>
          <w:szCs w:val="22"/>
        </w:rPr>
        <w:t xml:space="preserve">pénzügyi és előrehaladást jellemző </w:t>
      </w:r>
      <w:r w:rsidRPr="00F64639">
        <w:rPr>
          <w:iCs/>
          <w:szCs w:val="22"/>
        </w:rPr>
        <w:t>adata</w:t>
      </w:r>
      <w:r w:rsidR="00CA5FB9" w:rsidRPr="00F64639">
        <w:rPr>
          <w:iCs/>
          <w:szCs w:val="22"/>
        </w:rPr>
        <w:t>it</w:t>
      </w:r>
      <w:proofErr w:type="gramStart"/>
      <w:r w:rsidR="00CA5FB9" w:rsidRPr="00F64639">
        <w:rPr>
          <w:iCs/>
          <w:szCs w:val="22"/>
        </w:rPr>
        <w:t>:</w:t>
      </w:r>
      <w:r w:rsidRPr="00F64639">
        <w:rPr>
          <w:iCs/>
          <w:szCs w:val="22"/>
        </w:rPr>
        <w:t>i</w:t>
      </w:r>
      <w:proofErr w:type="gramEnd"/>
      <w:r w:rsidR="008077C4" w:rsidRPr="00F64639">
        <w:rPr>
          <w:rStyle w:val="FootnoteReference"/>
          <w:iCs/>
          <w:szCs w:val="22"/>
        </w:rPr>
        <w:footnoteReference w:id="2"/>
      </w:r>
      <w:r w:rsidRPr="00F64639">
        <w:rPr>
          <w:iCs/>
          <w:szCs w:val="22"/>
        </w:rPr>
        <w:t>:</w:t>
      </w:r>
    </w:p>
    <w:p w:rsidR="00E30745" w:rsidRPr="00F64639" w:rsidRDefault="00E30745" w:rsidP="008B122E">
      <w:pPr>
        <w:jc w:val="both"/>
        <w:rPr>
          <w:iCs/>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070"/>
        <w:gridCol w:w="2268"/>
        <w:gridCol w:w="1965"/>
      </w:tblGrid>
      <w:tr w:rsidR="00732BC6" w:rsidRPr="00F64639" w:rsidTr="000B0E4C">
        <w:trPr>
          <w:tblHeader/>
        </w:trPr>
        <w:tc>
          <w:tcPr>
            <w:tcW w:w="5070" w:type="dxa"/>
            <w:tcBorders>
              <w:top w:val="single" w:sz="8" w:space="0" w:color="FFFFFF"/>
              <w:left w:val="single" w:sz="8" w:space="0" w:color="FFFFFF"/>
              <w:bottom w:val="single" w:sz="24" w:space="0" w:color="FFFFFF"/>
              <w:right w:val="single" w:sz="8" w:space="0" w:color="FFFFFF"/>
            </w:tcBorders>
            <w:shd w:val="clear" w:color="auto" w:fill="C0504D"/>
          </w:tcPr>
          <w:p w:rsidR="00732BC6" w:rsidRPr="00F64639" w:rsidRDefault="00732BC6" w:rsidP="000B0E4C">
            <w:pPr>
              <w:jc w:val="both"/>
              <w:rPr>
                <w:b/>
                <w:bCs/>
                <w:iCs/>
                <w:color w:val="FFFFFF"/>
                <w:szCs w:val="22"/>
              </w:rPr>
            </w:pPr>
            <w:r w:rsidRPr="00F64639">
              <w:rPr>
                <w:b/>
                <w:bCs/>
                <w:iCs/>
                <w:color w:val="FFFFFF"/>
                <w:szCs w:val="22"/>
              </w:rPr>
              <w:t>Jellemző</w:t>
            </w:r>
          </w:p>
        </w:tc>
        <w:tc>
          <w:tcPr>
            <w:tcW w:w="2268" w:type="dxa"/>
            <w:tcBorders>
              <w:top w:val="single" w:sz="8" w:space="0" w:color="FFFFFF"/>
              <w:left w:val="single" w:sz="8" w:space="0" w:color="FFFFFF"/>
              <w:bottom w:val="single" w:sz="24" w:space="0" w:color="FFFFFF"/>
              <w:right w:val="single" w:sz="8" w:space="0" w:color="FFFFFF"/>
            </w:tcBorders>
            <w:shd w:val="clear" w:color="auto" w:fill="C0504D"/>
          </w:tcPr>
          <w:p w:rsidR="00732BC6" w:rsidRPr="00F64639" w:rsidRDefault="00732BC6" w:rsidP="000B0E4C">
            <w:pPr>
              <w:jc w:val="both"/>
              <w:rPr>
                <w:b/>
                <w:bCs/>
                <w:iCs/>
                <w:color w:val="FFFFFF"/>
                <w:szCs w:val="22"/>
              </w:rPr>
            </w:pPr>
            <w:r w:rsidRPr="00F64639">
              <w:rPr>
                <w:b/>
                <w:bCs/>
                <w:iCs/>
                <w:color w:val="FFFFFF"/>
                <w:szCs w:val="22"/>
              </w:rPr>
              <w:t>Komplex tájékoztatás</w:t>
            </w:r>
          </w:p>
        </w:tc>
        <w:tc>
          <w:tcPr>
            <w:tcW w:w="1965" w:type="dxa"/>
            <w:tcBorders>
              <w:top w:val="single" w:sz="8" w:space="0" w:color="FFFFFF"/>
              <w:left w:val="single" w:sz="8" w:space="0" w:color="FFFFFF"/>
              <w:bottom w:val="single" w:sz="24" w:space="0" w:color="FFFFFF"/>
              <w:right w:val="single" w:sz="8" w:space="0" w:color="FFFFFF"/>
            </w:tcBorders>
            <w:shd w:val="clear" w:color="auto" w:fill="C0504D"/>
          </w:tcPr>
          <w:p w:rsidR="00732BC6" w:rsidRPr="00F64639" w:rsidRDefault="00732BC6" w:rsidP="000B0E4C">
            <w:pPr>
              <w:jc w:val="both"/>
              <w:rPr>
                <w:b/>
                <w:bCs/>
                <w:iCs/>
                <w:color w:val="FFFFFF"/>
                <w:szCs w:val="22"/>
              </w:rPr>
            </w:pPr>
            <w:r w:rsidRPr="00F64639">
              <w:rPr>
                <w:b/>
                <w:bCs/>
                <w:iCs/>
                <w:color w:val="FFFFFF"/>
                <w:szCs w:val="22"/>
              </w:rPr>
              <w:t>Szakmai képzések</w:t>
            </w:r>
          </w:p>
        </w:tc>
      </w:tr>
      <w:tr w:rsidR="00732BC6" w:rsidRPr="00F64639" w:rsidTr="000B0E4C">
        <w:tc>
          <w:tcPr>
            <w:tcW w:w="5070" w:type="dxa"/>
            <w:tcBorders>
              <w:top w:val="single" w:sz="8" w:space="0" w:color="FFFFFF"/>
              <w:left w:val="single" w:sz="8" w:space="0" w:color="FFFFFF"/>
              <w:bottom w:val="nil"/>
              <w:right w:val="single" w:sz="24" w:space="0" w:color="FFFFFF"/>
            </w:tcBorders>
            <w:shd w:val="clear" w:color="auto" w:fill="C0504D"/>
          </w:tcPr>
          <w:p w:rsidR="00732BC6" w:rsidRPr="00F64639" w:rsidRDefault="00732BC6" w:rsidP="000B0E4C">
            <w:pPr>
              <w:jc w:val="both"/>
              <w:rPr>
                <w:b/>
                <w:bCs/>
                <w:iCs/>
                <w:color w:val="FFFFFF"/>
                <w:szCs w:val="22"/>
              </w:rPr>
            </w:pPr>
            <w:r w:rsidRPr="00F64639">
              <w:rPr>
                <w:b/>
                <w:bCs/>
                <w:iCs/>
                <w:color w:val="FFFFFF"/>
                <w:szCs w:val="22"/>
              </w:rPr>
              <w:t>Indikatív keret</w:t>
            </w:r>
            <w:r w:rsidRPr="00F64639">
              <w:rPr>
                <w:rStyle w:val="FootnoteReference"/>
                <w:b/>
                <w:bCs/>
                <w:iCs/>
                <w:color w:val="FFFFFF"/>
                <w:szCs w:val="22"/>
              </w:rPr>
              <w:footnoteReference w:id="3"/>
            </w:r>
          </w:p>
        </w:tc>
        <w:tc>
          <w:tcPr>
            <w:tcW w:w="4233" w:type="dxa"/>
            <w:gridSpan w:val="2"/>
            <w:tcBorders>
              <w:top w:val="single" w:sz="8" w:space="0" w:color="FFFFFF"/>
              <w:left w:val="single" w:sz="8" w:space="0" w:color="FFFFFF"/>
              <w:bottom w:val="single" w:sz="8" w:space="0" w:color="FFFFFF"/>
              <w:right w:val="single" w:sz="8" w:space="0" w:color="FFFFFF"/>
            </w:tcBorders>
            <w:shd w:val="clear" w:color="auto" w:fill="DFA7A6"/>
          </w:tcPr>
          <w:p w:rsidR="00732BC6" w:rsidRPr="00F64639" w:rsidRDefault="00732BC6" w:rsidP="000B0E4C">
            <w:pPr>
              <w:jc w:val="center"/>
              <w:rPr>
                <w:iCs/>
                <w:szCs w:val="22"/>
              </w:rPr>
            </w:pPr>
            <w:r w:rsidRPr="00F64639">
              <w:rPr>
                <w:iCs/>
                <w:szCs w:val="22"/>
              </w:rPr>
              <w:t xml:space="preserve">83 300 193 </w:t>
            </w:r>
            <w:r w:rsidR="0022006B" w:rsidRPr="00F64639">
              <w:rPr>
                <w:iCs/>
                <w:szCs w:val="22"/>
              </w:rPr>
              <w:t>EUR</w:t>
            </w:r>
          </w:p>
        </w:tc>
      </w:tr>
      <w:tr w:rsidR="004D14B8" w:rsidRPr="00F64639" w:rsidTr="000B0E4C">
        <w:tc>
          <w:tcPr>
            <w:tcW w:w="5070" w:type="dxa"/>
            <w:tcBorders>
              <w:left w:val="single" w:sz="8" w:space="0" w:color="FFFFFF"/>
              <w:bottom w:val="nil"/>
              <w:right w:val="single" w:sz="24" w:space="0" w:color="FFFFFF"/>
            </w:tcBorders>
            <w:shd w:val="clear" w:color="auto" w:fill="C0504D"/>
          </w:tcPr>
          <w:p w:rsidR="004D14B8" w:rsidRPr="00F64639" w:rsidRDefault="004D14B8" w:rsidP="000B0E4C">
            <w:pPr>
              <w:jc w:val="both"/>
              <w:rPr>
                <w:b/>
                <w:bCs/>
                <w:iCs/>
                <w:color w:val="FFFFFF"/>
                <w:szCs w:val="22"/>
              </w:rPr>
            </w:pPr>
            <w:r w:rsidRPr="00F64639">
              <w:rPr>
                <w:b/>
                <w:bCs/>
                <w:iCs/>
                <w:color w:val="FFFFFF"/>
                <w:szCs w:val="22"/>
              </w:rPr>
              <w:t>Kedvezményezettek száma</w:t>
            </w:r>
          </w:p>
        </w:tc>
        <w:tc>
          <w:tcPr>
            <w:tcW w:w="2268" w:type="dxa"/>
            <w:shd w:val="clear" w:color="auto" w:fill="EFD3D2"/>
          </w:tcPr>
          <w:p w:rsidR="004D14B8" w:rsidRPr="00F64639" w:rsidRDefault="004D14B8" w:rsidP="000B0E4C">
            <w:pPr>
              <w:jc w:val="center"/>
              <w:rPr>
                <w:iCs/>
                <w:szCs w:val="22"/>
              </w:rPr>
            </w:pPr>
            <w:r w:rsidRPr="00F64639">
              <w:rPr>
                <w:iCs/>
                <w:szCs w:val="22"/>
              </w:rPr>
              <w:t>1 db</w:t>
            </w:r>
          </w:p>
        </w:tc>
        <w:tc>
          <w:tcPr>
            <w:tcW w:w="1965" w:type="dxa"/>
            <w:shd w:val="clear" w:color="auto" w:fill="EFD3D2"/>
          </w:tcPr>
          <w:p w:rsidR="004D14B8" w:rsidRPr="00F64639" w:rsidRDefault="00DB7E53" w:rsidP="000B0E4C">
            <w:pPr>
              <w:jc w:val="center"/>
              <w:rPr>
                <w:iCs/>
                <w:szCs w:val="22"/>
              </w:rPr>
            </w:pPr>
            <w:r w:rsidRPr="00F64639">
              <w:rPr>
                <w:iCs/>
                <w:szCs w:val="22"/>
              </w:rPr>
              <w:t>4</w:t>
            </w:r>
            <w:r w:rsidR="004D14B8" w:rsidRPr="00F64639">
              <w:rPr>
                <w:iCs/>
                <w:szCs w:val="22"/>
              </w:rPr>
              <w:t xml:space="preserve"> db</w:t>
            </w:r>
            <w:r w:rsidR="00F85760" w:rsidRPr="00F64639">
              <w:rPr>
                <w:rStyle w:val="FootnoteReference"/>
                <w:iCs/>
                <w:szCs w:val="22"/>
              </w:rPr>
              <w:footnoteReference w:id="4"/>
            </w:r>
          </w:p>
        </w:tc>
      </w:tr>
      <w:tr w:rsidR="00732BC6" w:rsidRPr="00F64639" w:rsidTr="000B0E4C">
        <w:tc>
          <w:tcPr>
            <w:tcW w:w="5070" w:type="dxa"/>
            <w:tcBorders>
              <w:top w:val="single" w:sz="8" w:space="0" w:color="FFFFFF"/>
              <w:left w:val="single" w:sz="8" w:space="0" w:color="FFFFFF"/>
              <w:bottom w:val="nil"/>
              <w:right w:val="single" w:sz="24" w:space="0" w:color="FFFFFF"/>
            </w:tcBorders>
            <w:shd w:val="clear" w:color="auto" w:fill="C0504D"/>
          </w:tcPr>
          <w:p w:rsidR="00732BC6" w:rsidRPr="00F64639" w:rsidRDefault="00732BC6" w:rsidP="000B0E4C">
            <w:pPr>
              <w:jc w:val="both"/>
              <w:rPr>
                <w:b/>
                <w:bCs/>
                <w:iCs/>
                <w:color w:val="FFFFFF"/>
                <w:szCs w:val="22"/>
              </w:rPr>
            </w:pPr>
            <w:r w:rsidRPr="00F64639">
              <w:rPr>
                <w:b/>
                <w:bCs/>
                <w:iCs/>
                <w:color w:val="FFFFFF"/>
                <w:szCs w:val="22"/>
              </w:rPr>
              <w:lastRenderedPageBreak/>
              <w:t xml:space="preserve">Jóváhagyott </w:t>
            </w:r>
            <w:r w:rsidR="004D14B8" w:rsidRPr="00F64639">
              <w:rPr>
                <w:b/>
                <w:bCs/>
                <w:iCs/>
                <w:color w:val="FFFFFF"/>
                <w:szCs w:val="22"/>
              </w:rPr>
              <w:t>kifizetési (támogatási)</w:t>
            </w:r>
            <w:r w:rsidRPr="00F64639">
              <w:rPr>
                <w:b/>
                <w:bCs/>
                <w:iCs/>
                <w:color w:val="FFFFFF"/>
                <w:szCs w:val="22"/>
              </w:rPr>
              <w:t xml:space="preserve"> kérelmek száma</w:t>
            </w:r>
          </w:p>
        </w:tc>
        <w:tc>
          <w:tcPr>
            <w:tcW w:w="2268" w:type="dxa"/>
            <w:tcBorders>
              <w:top w:val="single" w:sz="8" w:space="0" w:color="FFFFFF"/>
              <w:left w:val="single" w:sz="8" w:space="0" w:color="FFFFFF"/>
              <w:bottom w:val="single" w:sz="8" w:space="0" w:color="FFFFFF"/>
              <w:right w:val="single" w:sz="8" w:space="0" w:color="FFFFFF"/>
            </w:tcBorders>
            <w:shd w:val="clear" w:color="auto" w:fill="DFA7A6"/>
          </w:tcPr>
          <w:p w:rsidR="00732BC6" w:rsidRPr="00F64639" w:rsidRDefault="004D14B8" w:rsidP="000B0E4C">
            <w:pPr>
              <w:jc w:val="center"/>
              <w:rPr>
                <w:iCs/>
                <w:szCs w:val="22"/>
              </w:rPr>
            </w:pPr>
            <w:r w:rsidRPr="00F64639">
              <w:rPr>
                <w:iCs/>
                <w:szCs w:val="22"/>
              </w:rPr>
              <w:t>15</w:t>
            </w:r>
            <w:r w:rsidR="00732BC6" w:rsidRPr="00F64639">
              <w:rPr>
                <w:iCs/>
                <w:szCs w:val="22"/>
              </w:rPr>
              <w:t xml:space="preserve"> db</w:t>
            </w:r>
          </w:p>
        </w:tc>
        <w:tc>
          <w:tcPr>
            <w:tcW w:w="1965" w:type="dxa"/>
            <w:tcBorders>
              <w:top w:val="single" w:sz="8" w:space="0" w:color="FFFFFF"/>
              <w:left w:val="single" w:sz="8" w:space="0" w:color="FFFFFF"/>
              <w:bottom w:val="single" w:sz="8" w:space="0" w:color="FFFFFF"/>
              <w:right w:val="single" w:sz="8" w:space="0" w:color="FFFFFF"/>
            </w:tcBorders>
            <w:shd w:val="clear" w:color="auto" w:fill="DFA7A6"/>
          </w:tcPr>
          <w:p w:rsidR="00732BC6" w:rsidRPr="00F64639" w:rsidRDefault="00DB7E53" w:rsidP="000B0E4C">
            <w:pPr>
              <w:jc w:val="center"/>
              <w:rPr>
                <w:iCs/>
                <w:szCs w:val="22"/>
              </w:rPr>
            </w:pPr>
            <w:r w:rsidRPr="00F64639">
              <w:rPr>
                <w:iCs/>
                <w:szCs w:val="22"/>
              </w:rPr>
              <w:t>4</w:t>
            </w:r>
            <w:r w:rsidR="00732BC6" w:rsidRPr="00F64639">
              <w:rPr>
                <w:iCs/>
                <w:szCs w:val="22"/>
              </w:rPr>
              <w:t xml:space="preserve"> db</w:t>
            </w:r>
          </w:p>
        </w:tc>
      </w:tr>
      <w:tr w:rsidR="00DB7E53" w:rsidRPr="00F64639" w:rsidTr="000B0E4C">
        <w:tc>
          <w:tcPr>
            <w:tcW w:w="5070" w:type="dxa"/>
            <w:tcBorders>
              <w:left w:val="single" w:sz="8" w:space="0" w:color="FFFFFF"/>
              <w:bottom w:val="nil"/>
              <w:right w:val="single" w:sz="24" w:space="0" w:color="FFFFFF"/>
            </w:tcBorders>
            <w:shd w:val="clear" w:color="auto" w:fill="C0504D"/>
          </w:tcPr>
          <w:p w:rsidR="00DB7E53" w:rsidRPr="00F64639" w:rsidRDefault="00DB7E53" w:rsidP="000B0E4C">
            <w:pPr>
              <w:jc w:val="both"/>
              <w:rPr>
                <w:b/>
                <w:bCs/>
                <w:iCs/>
                <w:color w:val="FFFFFF"/>
                <w:szCs w:val="22"/>
              </w:rPr>
            </w:pPr>
            <w:r w:rsidRPr="00F64639">
              <w:rPr>
                <w:b/>
                <w:bCs/>
                <w:iCs/>
                <w:color w:val="FFFFFF"/>
                <w:szCs w:val="22"/>
              </w:rPr>
              <w:t>Kötelezettségvállalás (2010.06.30-ig)</w:t>
            </w:r>
          </w:p>
        </w:tc>
        <w:tc>
          <w:tcPr>
            <w:tcW w:w="2268" w:type="dxa"/>
            <w:shd w:val="clear" w:color="auto" w:fill="EFD3D2"/>
          </w:tcPr>
          <w:p w:rsidR="00DB7E53" w:rsidRPr="00F64639" w:rsidRDefault="00DB7E53" w:rsidP="003F1EA3">
            <w:pPr>
              <w:jc w:val="center"/>
              <w:rPr>
                <w:iCs/>
                <w:szCs w:val="22"/>
              </w:rPr>
            </w:pPr>
            <w:r w:rsidRPr="00F64639">
              <w:rPr>
                <w:iCs/>
                <w:szCs w:val="22"/>
              </w:rPr>
              <w:t xml:space="preserve">55 356 119 </w:t>
            </w:r>
            <w:r w:rsidR="003F1EA3" w:rsidRPr="00F64639">
              <w:rPr>
                <w:iCs/>
                <w:szCs w:val="22"/>
              </w:rPr>
              <w:t xml:space="preserve">EUR (15 062 400 000 </w:t>
            </w:r>
            <w:proofErr w:type="gramStart"/>
            <w:r w:rsidR="003F1EA3" w:rsidRPr="00F64639">
              <w:rPr>
                <w:iCs/>
                <w:szCs w:val="22"/>
              </w:rPr>
              <w:t>Ft</w:t>
            </w:r>
            <w:r w:rsidR="003F1EA3" w:rsidRPr="00F64639">
              <w:rPr>
                <w:rStyle w:val="FootnoteReference"/>
                <w:iCs/>
                <w:szCs w:val="22"/>
              </w:rPr>
              <w:footnoteReference w:id="5"/>
            </w:r>
            <w:r w:rsidR="003F1EA3" w:rsidRPr="00F64639">
              <w:rPr>
                <w:iCs/>
                <w:szCs w:val="22"/>
              </w:rPr>
              <w:t>)</w:t>
            </w:r>
            <w:proofErr w:type="gramEnd"/>
          </w:p>
        </w:tc>
        <w:tc>
          <w:tcPr>
            <w:tcW w:w="1965" w:type="dxa"/>
            <w:shd w:val="clear" w:color="auto" w:fill="EFD3D2"/>
          </w:tcPr>
          <w:p w:rsidR="00DB7E53" w:rsidRPr="00F64639" w:rsidRDefault="00DB7E53" w:rsidP="000B0E4C">
            <w:pPr>
              <w:jc w:val="center"/>
              <w:rPr>
                <w:iCs/>
                <w:szCs w:val="22"/>
              </w:rPr>
            </w:pPr>
            <w:r w:rsidRPr="00F64639">
              <w:rPr>
                <w:iCs/>
                <w:szCs w:val="22"/>
              </w:rPr>
              <w:t>-</w:t>
            </w:r>
          </w:p>
        </w:tc>
      </w:tr>
      <w:tr w:rsidR="00DB7E53" w:rsidRPr="00F64639" w:rsidTr="000B0E4C">
        <w:tc>
          <w:tcPr>
            <w:tcW w:w="5070" w:type="dxa"/>
            <w:tcBorders>
              <w:top w:val="single" w:sz="8" w:space="0" w:color="FFFFFF"/>
              <w:left w:val="single" w:sz="8" w:space="0" w:color="FFFFFF"/>
              <w:bottom w:val="single" w:sz="8" w:space="0" w:color="FFFFFF"/>
              <w:right w:val="single" w:sz="24" w:space="0" w:color="FFFFFF"/>
            </w:tcBorders>
            <w:shd w:val="clear" w:color="auto" w:fill="C0504D"/>
          </w:tcPr>
          <w:p w:rsidR="00DB7E53" w:rsidRPr="00F64639" w:rsidRDefault="00DB7E53" w:rsidP="000B0E4C">
            <w:pPr>
              <w:jc w:val="both"/>
              <w:rPr>
                <w:b/>
                <w:bCs/>
                <w:iCs/>
                <w:color w:val="FFFFFF"/>
                <w:szCs w:val="22"/>
              </w:rPr>
            </w:pPr>
            <w:r w:rsidRPr="00F64639">
              <w:rPr>
                <w:b/>
                <w:bCs/>
                <w:iCs/>
                <w:color w:val="FFFFFF"/>
                <w:szCs w:val="22"/>
              </w:rPr>
              <w:t>Halmozott kifizetés (2010.06.30-ig)</w:t>
            </w:r>
          </w:p>
        </w:tc>
        <w:tc>
          <w:tcPr>
            <w:tcW w:w="2268" w:type="dxa"/>
            <w:tcBorders>
              <w:top w:val="single" w:sz="8" w:space="0" w:color="FFFFFF"/>
              <w:left w:val="single" w:sz="8" w:space="0" w:color="FFFFFF"/>
              <w:bottom w:val="single" w:sz="8" w:space="0" w:color="FFFFFF"/>
              <w:right w:val="single" w:sz="8" w:space="0" w:color="FFFFFF"/>
            </w:tcBorders>
            <w:shd w:val="clear" w:color="auto" w:fill="DFA7A6"/>
          </w:tcPr>
          <w:p w:rsidR="00DB7E53" w:rsidRPr="00F64639" w:rsidRDefault="00DB7E53" w:rsidP="00502D84">
            <w:pPr>
              <w:jc w:val="center"/>
              <w:rPr>
                <w:iCs/>
                <w:szCs w:val="22"/>
              </w:rPr>
            </w:pPr>
            <w:r w:rsidRPr="00F64639">
              <w:rPr>
                <w:iCs/>
                <w:szCs w:val="22"/>
              </w:rPr>
              <w:t xml:space="preserve">20 596 965 </w:t>
            </w:r>
            <w:r w:rsidR="0022006B" w:rsidRPr="00F64639">
              <w:rPr>
                <w:iCs/>
                <w:szCs w:val="22"/>
              </w:rPr>
              <w:t>EUR (5 581 777 515 Ft</w:t>
            </w:r>
            <w:r w:rsidR="00502D84" w:rsidRPr="00F64639">
              <w:rPr>
                <w:iCs/>
                <w:szCs w:val="22"/>
              </w:rPr>
              <w:t>)</w:t>
            </w:r>
          </w:p>
        </w:tc>
        <w:tc>
          <w:tcPr>
            <w:tcW w:w="1965" w:type="dxa"/>
            <w:tcBorders>
              <w:top w:val="single" w:sz="8" w:space="0" w:color="FFFFFF"/>
              <w:left w:val="single" w:sz="8" w:space="0" w:color="FFFFFF"/>
              <w:bottom w:val="single" w:sz="8" w:space="0" w:color="FFFFFF"/>
              <w:right w:val="single" w:sz="8" w:space="0" w:color="FFFFFF"/>
            </w:tcBorders>
            <w:shd w:val="clear" w:color="auto" w:fill="DFA7A6"/>
          </w:tcPr>
          <w:p w:rsidR="00DB7E53" w:rsidRPr="00F64639" w:rsidRDefault="00DB7E53" w:rsidP="000B0E4C">
            <w:pPr>
              <w:jc w:val="center"/>
              <w:rPr>
                <w:iCs/>
                <w:szCs w:val="22"/>
              </w:rPr>
            </w:pPr>
            <w:r w:rsidRPr="00F64639">
              <w:rPr>
                <w:iCs/>
                <w:szCs w:val="22"/>
              </w:rPr>
              <w:t>-</w:t>
            </w:r>
          </w:p>
        </w:tc>
      </w:tr>
    </w:tbl>
    <w:p w:rsidR="00732BC6" w:rsidRPr="00F64639" w:rsidRDefault="00075A29" w:rsidP="00AB435B">
      <w:pPr>
        <w:pStyle w:val="Caption"/>
        <w:spacing w:before="60" w:after="60" w:line="280" w:lineRule="atLeast"/>
        <w:jc w:val="center"/>
        <w:rPr>
          <w:iCs/>
          <w:color w:val="auto"/>
          <w:szCs w:val="22"/>
        </w:rPr>
      </w:pPr>
      <w:r w:rsidRPr="00F64639">
        <w:rPr>
          <w:iCs/>
          <w:color w:val="auto"/>
          <w:szCs w:val="22"/>
        </w:rPr>
        <w:fldChar w:fldCharType="begin"/>
      </w:r>
      <w:r w:rsidR="00AB435B" w:rsidRPr="00F64639">
        <w:rPr>
          <w:iCs/>
          <w:color w:val="auto"/>
          <w:szCs w:val="22"/>
        </w:rPr>
        <w:instrText xml:space="preserve"> SEQ táblázat \* ARABIC </w:instrText>
      </w:r>
      <w:r w:rsidRPr="00F64639">
        <w:rPr>
          <w:iCs/>
          <w:color w:val="auto"/>
          <w:szCs w:val="22"/>
        </w:rPr>
        <w:fldChar w:fldCharType="separate"/>
      </w:r>
      <w:r w:rsidR="00E30745" w:rsidRPr="00F64639">
        <w:rPr>
          <w:iCs/>
          <w:noProof/>
          <w:color w:val="auto"/>
          <w:szCs w:val="22"/>
        </w:rPr>
        <w:t>1</w:t>
      </w:r>
      <w:r w:rsidRPr="00F64639">
        <w:rPr>
          <w:iCs/>
          <w:color w:val="auto"/>
          <w:szCs w:val="22"/>
        </w:rPr>
        <w:fldChar w:fldCharType="end"/>
      </w:r>
      <w:r w:rsidR="00AB435B" w:rsidRPr="00F64639">
        <w:rPr>
          <w:color w:val="auto"/>
        </w:rPr>
        <w:t>. táblázat: A jogcím általános jellemzői</w:t>
      </w:r>
    </w:p>
    <w:p w:rsidR="000A25B3" w:rsidRPr="00F64639" w:rsidRDefault="000F266B" w:rsidP="00B42F7F">
      <w:pPr>
        <w:pStyle w:val="HUNNormal"/>
        <w:tabs>
          <w:tab w:val="left" w:pos="709"/>
        </w:tabs>
      </w:pPr>
      <w:r w:rsidRPr="00F64639">
        <w:t xml:space="preserve">A </w:t>
      </w:r>
      <w:r w:rsidRPr="00F64639">
        <w:rPr>
          <w:b/>
          <w:u w:val="single"/>
        </w:rPr>
        <w:t>komplex tájékoztatás jogcím</w:t>
      </w:r>
      <w:r w:rsidRPr="00F64639">
        <w:t xml:space="preserve"> </w:t>
      </w:r>
      <w:r w:rsidR="0020059A" w:rsidRPr="00F64639">
        <w:t>finanszírozásával</w:t>
      </w:r>
      <w:r w:rsidRPr="00F64639">
        <w:t xml:space="preserve"> a Magyar Agrárkamara mintegy 200 ügyfélszolgála</w:t>
      </w:r>
      <w:r w:rsidR="00E30527" w:rsidRPr="00F64639">
        <w:t xml:space="preserve">ti irodát nyitott országszerte korszerű infrastruktúrával és </w:t>
      </w:r>
      <w:r w:rsidRPr="00F64639">
        <w:t>több mint 200 fő ügyfélszolgálati tanácsadóval az agrá</w:t>
      </w:r>
      <w:r w:rsidRPr="00F64639">
        <w:t>r</w:t>
      </w:r>
      <w:r w:rsidRPr="00F64639">
        <w:t>ágaz</w:t>
      </w:r>
      <w:r w:rsidR="003933AF" w:rsidRPr="00F64639">
        <w:t>atban dolgozók tájékoztatás</w:t>
      </w:r>
      <w:r w:rsidR="0020059A" w:rsidRPr="00F64639">
        <w:t>a céljából</w:t>
      </w:r>
      <w:r w:rsidR="00FC78DC" w:rsidRPr="00F64639">
        <w:t>.</w:t>
      </w:r>
      <w:r w:rsidR="000A25B3" w:rsidRPr="00F64639">
        <w:t xml:space="preserve"> </w:t>
      </w:r>
    </w:p>
    <w:p w:rsidR="00B42F7F" w:rsidRPr="00F64639" w:rsidRDefault="000A25B3" w:rsidP="000A25B3">
      <w:pPr>
        <w:pStyle w:val="HUNNormal"/>
      </w:pPr>
      <w:r w:rsidRPr="00F64639">
        <w:t xml:space="preserve">A tanácsadók </w:t>
      </w:r>
      <w:r w:rsidR="0020059A" w:rsidRPr="00F64639">
        <w:t xml:space="preserve">az Agrárkamara tájékoztatása szerint </w:t>
      </w:r>
      <w:r w:rsidR="0064188A" w:rsidRPr="00F64639">
        <w:t xml:space="preserve">elsősorban </w:t>
      </w:r>
      <w:r w:rsidRPr="00F64639">
        <w:t>a területalapú és beruházási támogatáso</w:t>
      </w:r>
      <w:r w:rsidRPr="00F64639">
        <w:t>k</w:t>
      </w:r>
      <w:r w:rsidR="0020059A" w:rsidRPr="00F64639">
        <w:t>kal</w:t>
      </w:r>
      <w:r w:rsidRPr="00F64639">
        <w:t>, értékesítési lehetőségek</w:t>
      </w:r>
      <w:r w:rsidR="0020059A" w:rsidRPr="00F64639">
        <w:t>kel</w:t>
      </w:r>
      <w:r w:rsidRPr="00F64639">
        <w:t>, előíráso</w:t>
      </w:r>
      <w:r w:rsidR="00124278" w:rsidRPr="00F64639">
        <w:t>k</w:t>
      </w:r>
      <w:r w:rsidR="0020059A" w:rsidRPr="00F64639">
        <w:t>kal kapcsolatban</w:t>
      </w:r>
      <w:r w:rsidR="00124278" w:rsidRPr="00F64639">
        <w:t xml:space="preserve"> segítik</w:t>
      </w:r>
      <w:r w:rsidR="0064188A" w:rsidRPr="00F64639">
        <w:t xml:space="preserve"> ingyenes szolgáltatással</w:t>
      </w:r>
      <w:r w:rsidR="00124278" w:rsidRPr="00F64639">
        <w:t xml:space="preserve"> a gazdálkodókat, a következő célok mentén:</w:t>
      </w:r>
    </w:p>
    <w:p w:rsidR="0064188A" w:rsidRPr="00F64639" w:rsidRDefault="0064188A" w:rsidP="00DF4BBF">
      <w:pPr>
        <w:pStyle w:val="HUNNormal"/>
        <w:numPr>
          <w:ilvl w:val="0"/>
          <w:numId w:val="23"/>
        </w:numPr>
      </w:pPr>
      <w:r w:rsidRPr="00F64639">
        <w:t>konkrét, cselekvésre ösztönzés (támogatások, pályázatok igénybevétele, kölcsönös megfeleltetés előírásrendszerének megismerése, betartása, vállalkozói kedv és tervezés, előírások betartása, Gazdálkodói Információs Szolgálat igénybevételére történő ösztönzés);</w:t>
      </w:r>
    </w:p>
    <w:p w:rsidR="0064188A" w:rsidRPr="00F64639" w:rsidRDefault="0064188A" w:rsidP="00DF4BBF">
      <w:pPr>
        <w:pStyle w:val="HUNNormal"/>
        <w:numPr>
          <w:ilvl w:val="0"/>
          <w:numId w:val="23"/>
        </w:numPr>
      </w:pPr>
      <w:r w:rsidRPr="00F64639">
        <w:t>tájékoztatás (SPS, amely SAPS és ETK rendszerre, ÚMVP, támogatások, kérelmezési, kifizetési h</w:t>
      </w:r>
      <w:r w:rsidRPr="00F64639">
        <w:t>a</w:t>
      </w:r>
      <w:r w:rsidRPr="00F64639">
        <w:t xml:space="preserve">táridők, </w:t>
      </w:r>
      <w:r w:rsidR="00E20F15" w:rsidRPr="00F64639">
        <w:t>kölcsönös megfeleltetés</w:t>
      </w:r>
      <w:r w:rsidRPr="00F64639">
        <w:t>, továbbá nemzeti előírások);</w:t>
      </w:r>
    </w:p>
    <w:p w:rsidR="0064188A" w:rsidRPr="00F64639" w:rsidRDefault="0064188A" w:rsidP="00DF4BBF">
      <w:pPr>
        <w:pStyle w:val="HUNNormal"/>
        <w:numPr>
          <w:ilvl w:val="0"/>
          <w:numId w:val="23"/>
        </w:numPr>
      </w:pPr>
      <w:r w:rsidRPr="00F64639">
        <w:t>a célcsoport véleményének formálása az Európai Unió, a KAP, az ÚMVP, a Kölcsönös Megfeleltetés előírásainak széleskörű, általános megismertetésével;</w:t>
      </w:r>
    </w:p>
    <w:p w:rsidR="00124278" w:rsidRPr="00F64639" w:rsidRDefault="0064188A" w:rsidP="00DF4BBF">
      <w:pPr>
        <w:pStyle w:val="HUNNormal"/>
        <w:numPr>
          <w:ilvl w:val="0"/>
          <w:numId w:val="23"/>
        </w:numPr>
      </w:pPr>
      <w:r w:rsidRPr="00F64639">
        <w:t xml:space="preserve">véleményalkotásra ösztönzés, a vélemények összegyűjtése, </w:t>
      </w:r>
      <w:proofErr w:type="spellStart"/>
      <w:r w:rsidRPr="00F64639">
        <w:t>disszeminálása</w:t>
      </w:r>
      <w:proofErr w:type="spellEnd"/>
      <w:r w:rsidRPr="00F64639">
        <w:t>, információs hídként történő működés a gazdálkodói/vállalkozói szféra és a végrehajtó-jogszabályalkotó szervezetek k</w:t>
      </w:r>
      <w:r w:rsidRPr="00F64639">
        <w:t>ö</w:t>
      </w:r>
      <w:r w:rsidR="003C7574" w:rsidRPr="00F64639">
        <w:t xml:space="preserve">zött (MVH; </w:t>
      </w:r>
      <w:proofErr w:type="spellStart"/>
      <w:r w:rsidR="004F56B8" w:rsidRPr="00F64639">
        <w:t>MgSzH</w:t>
      </w:r>
      <w:proofErr w:type="spellEnd"/>
      <w:r w:rsidRPr="00F64639">
        <w:t>; FVM).</w:t>
      </w:r>
    </w:p>
    <w:p w:rsidR="0064188A" w:rsidRPr="00F64639" w:rsidRDefault="0064188A" w:rsidP="0064188A">
      <w:pPr>
        <w:pStyle w:val="HUNNormal"/>
      </w:pPr>
      <w:r w:rsidRPr="00F64639">
        <w:t>A hálózat informatikai infrastruktúrát is biztosít az elektronikus kérelembeadáshoz, továbbá nyomtatványo</w:t>
      </w:r>
      <w:r w:rsidRPr="00F64639">
        <w:t>k</w:t>
      </w:r>
      <w:r w:rsidRPr="00F64639">
        <w:t>kal, tájékoztató kiadványokkal áll a gazdálkodók rendelkezésére.</w:t>
      </w:r>
    </w:p>
    <w:p w:rsidR="00B42F7F" w:rsidRPr="00F64639" w:rsidRDefault="00B42F7F" w:rsidP="00B42F7F">
      <w:pPr>
        <w:pStyle w:val="HUNNormal"/>
      </w:pPr>
      <w:r w:rsidRPr="00F64639">
        <w:t>A területi tanácsadók a heti 30 óra ügyfélszolgálati (tájékoztatási) feladatukat az alábbi megosztásban telj</w:t>
      </w:r>
      <w:r w:rsidRPr="00F64639">
        <w:t>e</w:t>
      </w:r>
      <w:r w:rsidRPr="00F64639">
        <w:t>sítik:</w:t>
      </w:r>
    </w:p>
    <w:p w:rsidR="00B42F7F" w:rsidRPr="00F64639" w:rsidRDefault="00E30527" w:rsidP="00DF4BBF">
      <w:pPr>
        <w:pStyle w:val="HUNNormal"/>
        <w:numPr>
          <w:ilvl w:val="0"/>
          <w:numId w:val="22"/>
        </w:numPr>
      </w:pPr>
      <w:r w:rsidRPr="00F64639">
        <w:t>h</w:t>
      </w:r>
      <w:r w:rsidR="00B42F7F" w:rsidRPr="00F64639">
        <w:t>eti 16 óra az Ügyfélszolgálati irodában</w:t>
      </w:r>
      <w:r w:rsidRPr="00F64639">
        <w:t>;</w:t>
      </w:r>
    </w:p>
    <w:p w:rsidR="00B42F7F" w:rsidRPr="00F64639" w:rsidRDefault="00E30527" w:rsidP="00DF4BBF">
      <w:pPr>
        <w:pStyle w:val="HUNNormal"/>
        <w:numPr>
          <w:ilvl w:val="0"/>
          <w:numId w:val="22"/>
        </w:numPr>
      </w:pPr>
      <w:r w:rsidRPr="00F64639">
        <w:t>h</w:t>
      </w:r>
      <w:r w:rsidR="00B42F7F" w:rsidRPr="00F64639">
        <w:t xml:space="preserve">eti 5 óra </w:t>
      </w:r>
      <w:r w:rsidR="00ED40C0" w:rsidRPr="00F64639">
        <w:t xml:space="preserve">kihelyezett </w:t>
      </w:r>
      <w:r w:rsidR="00B42F7F" w:rsidRPr="00F64639">
        <w:t>módon (az oda és visszautazással együtt)</w:t>
      </w:r>
      <w:r w:rsidRPr="00F64639">
        <w:t>;</w:t>
      </w:r>
    </w:p>
    <w:p w:rsidR="00B42F7F" w:rsidRPr="00F64639" w:rsidRDefault="00E30527" w:rsidP="00DF4BBF">
      <w:pPr>
        <w:pStyle w:val="HUNNormal"/>
        <w:numPr>
          <w:ilvl w:val="0"/>
          <w:numId w:val="22"/>
        </w:numPr>
      </w:pPr>
      <w:r w:rsidRPr="00F64639">
        <w:t>h</w:t>
      </w:r>
      <w:r w:rsidR="00B42F7F" w:rsidRPr="00F64639">
        <w:t xml:space="preserve">eti 9 óra </w:t>
      </w:r>
      <w:r w:rsidR="00ED40C0" w:rsidRPr="00F64639">
        <w:t xml:space="preserve">gazdálkodónál </w:t>
      </w:r>
      <w:r w:rsidR="00B42F7F" w:rsidRPr="00F64639">
        <w:t>végzett kihelyezett tanácsadás (az oda és visszautazással együtt)</w:t>
      </w:r>
      <w:r w:rsidRPr="00F64639">
        <w:t>.</w:t>
      </w:r>
    </w:p>
    <w:p w:rsidR="00B42F7F" w:rsidRPr="00F64639" w:rsidRDefault="0097452E" w:rsidP="000A25B3">
      <w:pPr>
        <w:pStyle w:val="HUNNormal"/>
      </w:pPr>
      <w:r w:rsidRPr="00F64639">
        <w:rPr>
          <w:b/>
        </w:rPr>
        <w:t>A t</w:t>
      </w:r>
      <w:r w:rsidR="00B42F7F" w:rsidRPr="00F64639">
        <w:rPr>
          <w:b/>
        </w:rPr>
        <w:t>anácsadással töltött idő éves szinten átlagosan 1742 óra volt 2008-ban és 1725 óra</w:t>
      </w:r>
      <w:r w:rsidRPr="00F64639">
        <w:rPr>
          <w:b/>
        </w:rPr>
        <w:t xml:space="preserve"> volt</w:t>
      </w:r>
      <w:r w:rsidR="00B42F7F" w:rsidRPr="00F64639">
        <w:rPr>
          <w:b/>
        </w:rPr>
        <w:t xml:space="preserve"> 2009-ben.</w:t>
      </w:r>
      <w:r w:rsidR="0064188A" w:rsidRPr="00F64639">
        <w:rPr>
          <w:b/>
        </w:rPr>
        <w:t xml:space="preserve"> </w:t>
      </w:r>
      <w:proofErr w:type="gramStart"/>
      <w:r w:rsidRPr="00F64639">
        <w:rPr>
          <w:b/>
        </w:rPr>
        <w:t>A</w:t>
      </w:r>
      <w:proofErr w:type="gramEnd"/>
      <w:r w:rsidRPr="00F64639">
        <w:rPr>
          <w:b/>
        </w:rPr>
        <w:t xml:space="preserve"> </w:t>
      </w:r>
      <w:r w:rsidR="0064188A" w:rsidRPr="00F64639">
        <w:rPr>
          <w:b/>
        </w:rPr>
        <w:t>2008</w:t>
      </w:r>
      <w:r w:rsidRPr="00F64639">
        <w:rPr>
          <w:b/>
        </w:rPr>
        <w:t>.</w:t>
      </w:r>
      <w:r w:rsidR="0064188A" w:rsidRPr="00F64639">
        <w:rPr>
          <w:b/>
        </w:rPr>
        <w:t xml:space="preserve"> évben 703, míg 2009-ben 1015 rendezvényt tartottak a tanácsadók.</w:t>
      </w:r>
      <w:r w:rsidR="003E2943" w:rsidRPr="00F64639">
        <w:t xml:space="preserve"> A jelenléti ívek elemzése azt mutatja, hogy a résztvevők egy része többször is visszatér</w:t>
      </w:r>
      <w:r w:rsidR="0020059A" w:rsidRPr="00F64639">
        <w:t>t</w:t>
      </w:r>
      <w:r w:rsidR="003E2943" w:rsidRPr="00F64639">
        <w:t>, ezért az egy résztvevőre jutó alkalmak száma átlagosan 1,35</w:t>
      </w:r>
      <w:r w:rsidR="0020059A" w:rsidRPr="00F64639">
        <w:t xml:space="preserve"> volt</w:t>
      </w:r>
      <w:r w:rsidR="003E2943" w:rsidRPr="00F64639">
        <w:t>.</w:t>
      </w:r>
    </w:p>
    <w:p w:rsidR="003E2943" w:rsidRPr="00F64639" w:rsidRDefault="003E2943" w:rsidP="000A25B3">
      <w:pPr>
        <w:pStyle w:val="HUNNormal"/>
      </w:pPr>
      <w:r w:rsidRPr="00F64639">
        <w:rPr>
          <w:b/>
        </w:rPr>
        <w:lastRenderedPageBreak/>
        <w:t>A Gazdálkodói Információs Szolgálat 2009 évben 64</w:t>
      </w:r>
      <w:r w:rsidR="00E30527" w:rsidRPr="00F64639">
        <w:rPr>
          <w:b/>
        </w:rPr>
        <w:t xml:space="preserve"> </w:t>
      </w:r>
      <w:r w:rsidRPr="00F64639">
        <w:rPr>
          <w:b/>
        </w:rPr>
        <w:t>038 gazdálkodót ért el közvetlen módon.</w:t>
      </w:r>
      <w:r w:rsidRPr="00F64639">
        <w:t xml:space="preserve"> Ez évben az ügyfélkörben a nők száma 17</w:t>
      </w:r>
      <w:r w:rsidR="00E30527" w:rsidRPr="00F64639">
        <w:t xml:space="preserve"> </w:t>
      </w:r>
      <w:r w:rsidRPr="00F64639">
        <w:t>005 (26,5%) fő, amelyből a 40 év alatti 2369 (13,9%) fő, a 40 év feletti 14</w:t>
      </w:r>
      <w:r w:rsidR="00E30527" w:rsidRPr="00F64639">
        <w:t xml:space="preserve"> </w:t>
      </w:r>
      <w:r w:rsidRPr="00F64639">
        <w:t>636 fő. (86,1%)</w:t>
      </w:r>
      <w:r w:rsidR="0020059A" w:rsidRPr="00F64639">
        <w:t xml:space="preserve"> volt</w:t>
      </w:r>
      <w:r w:rsidRPr="00F64639">
        <w:t>.</w:t>
      </w:r>
      <w:r w:rsidR="00EC36EA" w:rsidRPr="00F64639">
        <w:t xml:space="preserve"> </w:t>
      </w:r>
      <w:r w:rsidR="00EC36EA" w:rsidRPr="00F64639">
        <w:rPr>
          <w:b/>
        </w:rPr>
        <w:t>A szolgáltatás elérhető volt minden regisztrációs számmal rendelkező személy, vagy szervezet számára.</w:t>
      </w:r>
    </w:p>
    <w:p w:rsidR="000A25B3" w:rsidRPr="00F64639" w:rsidRDefault="000A25B3" w:rsidP="000A25B3">
      <w:pPr>
        <w:pStyle w:val="HUNNormal"/>
      </w:pPr>
      <w:r w:rsidRPr="00F64639">
        <w:t>A tevékenységi naplók alapján eddig a következő megkeresések voltak a leginkább jellemzők az ügyfélig</w:t>
      </w:r>
      <w:r w:rsidRPr="00F64639">
        <w:t>é</w:t>
      </w:r>
      <w:r w:rsidRPr="00F64639">
        <w:t>nyekben</w:t>
      </w:r>
      <w:r w:rsidR="00CA5FB9" w:rsidRPr="00F64639">
        <w:t xml:space="preserve"> (gyakoriság szerinti sorrend)</w:t>
      </w:r>
      <w:r w:rsidRPr="00F64639">
        <w:t>:</w:t>
      </w:r>
    </w:p>
    <w:p w:rsidR="000A25B3" w:rsidRPr="00F64639" w:rsidRDefault="000A25B3" w:rsidP="00DF4BBF">
      <w:pPr>
        <w:pStyle w:val="HUNNormal"/>
        <w:numPr>
          <w:ilvl w:val="0"/>
          <w:numId w:val="20"/>
        </w:numPr>
        <w:spacing w:after="60" w:line="240" w:lineRule="atLeast"/>
        <w:ind w:left="714" w:hanging="357"/>
      </w:pPr>
      <w:r w:rsidRPr="00F64639">
        <w:t>Egységes területalapú támogatás és a hozzá kapcsolódó területalapú nemzeti kiegészítő támogat</w:t>
      </w:r>
      <w:r w:rsidRPr="00F64639">
        <w:t>á</w:t>
      </w:r>
      <w:r w:rsidRPr="00F64639">
        <w:t>sok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AKG program célprogramjai</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Egyéb információk, támogatások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Vizek nitrát-tartalmának védelmét szolgáló előírások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Kölcsönös megfeleltetés előírásai</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Mezőgazdaságban felhasznált gázolaj jövedéki adóhoz kapcsolódó támogatások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 xml:space="preserve">Beruházás jellegű </w:t>
      </w:r>
      <w:r w:rsidR="00CA5FB9" w:rsidRPr="00F64639">
        <w:t xml:space="preserve">ÚMVP </w:t>
      </w:r>
      <w:r w:rsidRPr="00F64639">
        <w:t>támogatási jogcímek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Fiatal gazdálkodó és gazdaság átadás támogatása jogcím</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Helyes Mezőgazdasági és Környezeti Állapot, Helyes Gazdálkodási Gyakorlat előírásai</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A közvetlen támogatások történelmi bázis jogosultságai, támogatási jogosultságok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Kölcsönös megfeleltetés kötelezettségei (általános témakörök)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További, egyes (hatósági) előírások, követelmények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Helyes Mezőgazdasági és Környezeti Állapot előírásai (HMKA)</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Kedvezőtlen adottságú területeken történő gazdálkodás támogatása</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Szaktanácsadás, képzés, bemutató üzemi tevékenységek</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NATURA 2000 program</w:t>
      </w:r>
      <w:r w:rsidR="00DA6C67" w:rsidRPr="00F64639">
        <w:t>;</w:t>
      </w:r>
    </w:p>
    <w:p w:rsidR="000A25B3" w:rsidRPr="00F64639" w:rsidRDefault="000A25B3" w:rsidP="00DF4BBF">
      <w:pPr>
        <w:pStyle w:val="HUNNormal"/>
        <w:numPr>
          <w:ilvl w:val="0"/>
          <w:numId w:val="20"/>
        </w:numPr>
        <w:spacing w:after="60" w:line="240" w:lineRule="atLeast"/>
        <w:ind w:left="714" w:hanging="357"/>
      </w:pPr>
      <w:r w:rsidRPr="00F64639">
        <w:t>Egyéb közvetlen támogatások</w:t>
      </w:r>
      <w:r w:rsidR="00DA6C67" w:rsidRPr="00F64639">
        <w:t>.</w:t>
      </w:r>
    </w:p>
    <w:p w:rsidR="003E2943" w:rsidRPr="00F64639" w:rsidRDefault="003E2943" w:rsidP="00BA3419">
      <w:pPr>
        <w:pStyle w:val="HUNNormal"/>
        <w:tabs>
          <w:tab w:val="left" w:pos="709"/>
        </w:tabs>
      </w:pPr>
    </w:p>
    <w:p w:rsidR="000A25B3" w:rsidRPr="00F64639" w:rsidRDefault="0020059A" w:rsidP="00BA3419">
      <w:pPr>
        <w:pStyle w:val="HUNNormal"/>
        <w:tabs>
          <w:tab w:val="left" w:pos="709"/>
        </w:tabs>
      </w:pPr>
      <w:r w:rsidRPr="00F64639">
        <w:t>A gazdálkodók</w:t>
      </w:r>
      <w:r w:rsidR="003E2943" w:rsidRPr="00F64639">
        <w:t xml:space="preserve"> leggyakrabban az alábbi szolgáltatásokat igényelték:</w:t>
      </w:r>
    </w:p>
    <w:p w:rsidR="003E2943" w:rsidRPr="00F64639" w:rsidRDefault="003E2943" w:rsidP="00DF4BBF">
      <w:pPr>
        <w:pStyle w:val="HUNNormal"/>
        <w:numPr>
          <w:ilvl w:val="0"/>
          <w:numId w:val="25"/>
        </w:numPr>
        <w:tabs>
          <w:tab w:val="left" w:pos="709"/>
        </w:tabs>
      </w:pPr>
      <w:r w:rsidRPr="00F64639">
        <w:t>tájékoztatás a</w:t>
      </w:r>
      <w:r w:rsidR="0020059A" w:rsidRPr="00F64639">
        <w:t xml:space="preserve"> támogatási programokban</w:t>
      </w:r>
      <w:r w:rsidRPr="00F64639">
        <w:t xml:space="preserve"> való részvétel feltételeiről (jogosultsági kritériumok,</w:t>
      </w:r>
      <w:r w:rsidR="00E30527" w:rsidRPr="00F64639">
        <w:t xml:space="preserve"> </w:t>
      </w:r>
      <w:r w:rsidRPr="00F64639">
        <w:t>köt</w:t>
      </w:r>
      <w:r w:rsidRPr="00F64639">
        <w:t>e</w:t>
      </w:r>
      <w:r w:rsidRPr="00F64639">
        <w:t>lezettségek);</w:t>
      </w:r>
    </w:p>
    <w:p w:rsidR="003E2943" w:rsidRPr="00F64639" w:rsidRDefault="003E2943" w:rsidP="00DF4BBF">
      <w:pPr>
        <w:pStyle w:val="HUNNormal"/>
        <w:numPr>
          <w:ilvl w:val="0"/>
          <w:numId w:val="25"/>
        </w:numPr>
        <w:tabs>
          <w:tab w:val="left" w:pos="709"/>
        </w:tabs>
      </w:pPr>
      <w:r w:rsidRPr="00F64639">
        <w:t>a nyomtatványok kitöltésének segítése;</w:t>
      </w:r>
    </w:p>
    <w:p w:rsidR="003E2943" w:rsidRPr="00F64639" w:rsidRDefault="003E2943" w:rsidP="00DF4BBF">
      <w:pPr>
        <w:pStyle w:val="HUNNormal"/>
        <w:numPr>
          <w:ilvl w:val="0"/>
          <w:numId w:val="25"/>
        </w:numPr>
        <w:tabs>
          <w:tab w:val="left" w:pos="709"/>
        </w:tabs>
      </w:pPr>
      <w:r w:rsidRPr="00F64639">
        <w:t>elektronikus nyomtatványok kitöltésére alkalmas számítógépes és hálózati hozzáférés biztosítása;</w:t>
      </w:r>
    </w:p>
    <w:p w:rsidR="003E2943" w:rsidRPr="00F64639" w:rsidRDefault="003E2943" w:rsidP="00DF4BBF">
      <w:pPr>
        <w:pStyle w:val="HUNNormal"/>
        <w:numPr>
          <w:ilvl w:val="0"/>
          <w:numId w:val="25"/>
        </w:numPr>
        <w:tabs>
          <w:tab w:val="left" w:pos="709"/>
        </w:tabs>
      </w:pPr>
      <w:r w:rsidRPr="00F64639">
        <w:t>nemzeti jogszabályok (ideértve a már meghirdetett tervezeteket is) rendelkezésre bocsátása;</w:t>
      </w:r>
    </w:p>
    <w:p w:rsidR="003E2943" w:rsidRPr="00F64639" w:rsidRDefault="003E2943" w:rsidP="00DF4BBF">
      <w:pPr>
        <w:pStyle w:val="HUNNormal"/>
        <w:numPr>
          <w:ilvl w:val="0"/>
          <w:numId w:val="25"/>
        </w:numPr>
        <w:tabs>
          <w:tab w:val="left" w:pos="709"/>
        </w:tabs>
      </w:pPr>
      <w:r w:rsidRPr="00F64639">
        <w:t xml:space="preserve">tájékoztatás </w:t>
      </w:r>
      <w:r w:rsidR="0020059A" w:rsidRPr="00F64639">
        <w:t>a támogatási programokról (</w:t>
      </w:r>
      <w:r w:rsidRPr="00F64639">
        <w:t>támogatás alapja, mértéke);</w:t>
      </w:r>
    </w:p>
    <w:p w:rsidR="003E2943" w:rsidRPr="00F64639" w:rsidRDefault="003E2943" w:rsidP="00DF4BBF">
      <w:pPr>
        <w:pStyle w:val="HUNNormal"/>
        <w:numPr>
          <w:ilvl w:val="0"/>
          <w:numId w:val="25"/>
        </w:numPr>
        <w:tabs>
          <w:tab w:val="left" w:pos="709"/>
        </w:tabs>
      </w:pPr>
      <w:r w:rsidRPr="00F64639">
        <w:t xml:space="preserve">tájékoztatás </w:t>
      </w:r>
      <w:r w:rsidR="0020059A" w:rsidRPr="00F64639">
        <w:t>a támogatási programokhoz</w:t>
      </w:r>
      <w:r w:rsidRPr="00F64639">
        <w:t xml:space="preserve"> kapcsolódó eljárásról, valamint annak várható időbeli ütemezéséről (ügyfél kötelezettségei, az azokhoz kapcsolódó hatósági ellenőrzések, stb.).</w:t>
      </w:r>
    </w:p>
    <w:p w:rsidR="003E2943" w:rsidRPr="00F64639" w:rsidRDefault="003E2943" w:rsidP="00BA3419">
      <w:pPr>
        <w:pStyle w:val="HUNNormal"/>
        <w:tabs>
          <w:tab w:val="left" w:pos="709"/>
        </w:tabs>
      </w:pPr>
    </w:p>
    <w:p w:rsidR="00124278" w:rsidRPr="00F64639" w:rsidRDefault="00124278" w:rsidP="00124278">
      <w:pPr>
        <w:pStyle w:val="HUNNormal"/>
      </w:pPr>
      <w:r w:rsidRPr="00F64639">
        <w:t xml:space="preserve">Az ügyfélszolgálati tevékenységet a Kamara több fajta információs csatornán, illetve eszközzel támogatja. </w:t>
      </w:r>
    </w:p>
    <w:p w:rsidR="00B42F7F" w:rsidRPr="00F64639" w:rsidRDefault="00B42F7F" w:rsidP="00B42F7F">
      <w:pPr>
        <w:pStyle w:val="HUNNormal"/>
        <w:tabs>
          <w:tab w:val="left" w:pos="709"/>
        </w:tabs>
      </w:pPr>
      <w:r w:rsidRPr="00F64639">
        <w:t>A tanácsadók felkészítése folyamatos az Agrárkamara Központi Szakmai Koordinációs Irodája szervezés</w:t>
      </w:r>
      <w:r w:rsidRPr="00F64639">
        <w:t>é</w:t>
      </w:r>
      <w:r w:rsidRPr="00F64639">
        <w:t>ben. Az Iroda folyamatos jogszabályfigyelést végez és a tanácsadókat rendszeres (vizsgával záruló) képzé</w:t>
      </w:r>
      <w:r w:rsidRPr="00F64639">
        <w:t>s</w:t>
      </w:r>
      <w:r w:rsidRPr="00F64639">
        <w:t xml:space="preserve">ben részesíti </w:t>
      </w:r>
      <w:r w:rsidR="00495D70" w:rsidRPr="00F64639">
        <w:t xml:space="preserve">– egy </w:t>
      </w:r>
      <w:r w:rsidRPr="00F64639">
        <w:t>erre a célra</w:t>
      </w:r>
      <w:r w:rsidR="00495D70" w:rsidRPr="00F64639">
        <w:t xml:space="preserve"> - kifejlesztett </w:t>
      </w:r>
      <w:proofErr w:type="spellStart"/>
      <w:r w:rsidRPr="00F64639">
        <w:t>e-learning</w:t>
      </w:r>
      <w:proofErr w:type="spellEnd"/>
      <w:r w:rsidRPr="00F64639">
        <w:t xml:space="preserve"> rendszer segítségével.</w:t>
      </w:r>
    </w:p>
    <w:p w:rsidR="00B42F7F" w:rsidRPr="00F64639" w:rsidRDefault="00B42F7F" w:rsidP="00B42F7F">
      <w:pPr>
        <w:pStyle w:val="HUNNormal"/>
      </w:pPr>
      <w:r w:rsidRPr="00F64639">
        <w:lastRenderedPageBreak/>
        <w:t>Évente több alkalommal regionális értekezlet keretében további felkészítést kapnak a tanácsadók (3-5 alk</w:t>
      </w:r>
      <w:r w:rsidRPr="00F64639">
        <w:t>a</w:t>
      </w:r>
      <w:r w:rsidRPr="00F64639">
        <w:t>lommal az aktualitásokhoz igazodva). Ezen túlmenően esetenként az MVH megyei oktatás keretében is go</w:t>
      </w:r>
      <w:r w:rsidRPr="00F64639">
        <w:t>n</w:t>
      </w:r>
      <w:r w:rsidRPr="00F64639">
        <w:t>doskodik a tanácsadók felkészítéséről, amennyiben ezt valamilyen várható változás, vagy határidő indokol</w:t>
      </w:r>
      <w:r w:rsidRPr="00F64639">
        <w:t>t</w:t>
      </w:r>
      <w:r w:rsidRPr="00F64639">
        <w:t>tá teszi. További kapcsolatot jelent a tanácsadói hálózat és az intézményr</w:t>
      </w:r>
      <w:r w:rsidR="003C7574" w:rsidRPr="00F64639">
        <w:t xml:space="preserve">endszer között az FVM, MVH, </w:t>
      </w:r>
      <w:proofErr w:type="spellStart"/>
      <w:r w:rsidR="004F56B8" w:rsidRPr="00F64639">
        <w:t>MgSzH</w:t>
      </w:r>
      <w:proofErr w:type="spellEnd"/>
      <w:r w:rsidRPr="00F64639">
        <w:t xml:space="preserve"> és az Agrárkamara részvételével kéthetente ülésező Ügyfélszolgálati Bizottság, ahol az aktualitások rendszeresen átbeszélésre kerülnek.</w:t>
      </w:r>
    </w:p>
    <w:p w:rsidR="00B42F7F" w:rsidRPr="00F64639" w:rsidRDefault="007611D4" w:rsidP="00BA3419">
      <w:pPr>
        <w:pStyle w:val="HUNNormal"/>
        <w:tabs>
          <w:tab w:val="left" w:pos="709"/>
        </w:tabs>
      </w:pPr>
      <w:r w:rsidRPr="00F64639">
        <w:t xml:space="preserve">A leírtakon </w:t>
      </w:r>
      <w:r w:rsidR="00124278" w:rsidRPr="00F64639">
        <w:t xml:space="preserve">túl az Agrárkamara </w:t>
      </w:r>
      <w:r w:rsidR="0064188A" w:rsidRPr="00F64639">
        <w:t xml:space="preserve">létrehozott két internetes portált a gazdálkodók tájékoztatása érdekében (umvp.agrarkamara.hu, </w:t>
      </w:r>
      <w:proofErr w:type="spellStart"/>
      <w:r w:rsidR="00844665" w:rsidRPr="00F64639">
        <w:t>www.kolcsonosmegfeletetes.eu</w:t>
      </w:r>
      <w:proofErr w:type="spellEnd"/>
      <w:r w:rsidR="0064188A" w:rsidRPr="00F64639">
        <w:t>), továbbá 2008 és 2009 évben mindösszesen 91 féle szakkönyv 273 példányban került elhelyezésre és kölcsönzésre az ügyfélszolgálati irodákban.</w:t>
      </w:r>
    </w:p>
    <w:p w:rsidR="0064188A" w:rsidRPr="00F64639" w:rsidRDefault="0064188A" w:rsidP="00BA3419">
      <w:pPr>
        <w:pStyle w:val="HUNNormal"/>
        <w:tabs>
          <w:tab w:val="left" w:pos="709"/>
        </w:tabs>
      </w:pPr>
      <w:r w:rsidRPr="00F64639">
        <w:t>Aktív kommunikációként az Agrárkamara kommunikációs közbeszerzés</w:t>
      </w:r>
      <w:r w:rsidRPr="00F64639">
        <w:rPr>
          <w:rStyle w:val="FootnoteReference"/>
        </w:rPr>
        <w:footnoteReference w:id="6"/>
      </w:r>
      <w:r w:rsidRPr="00F64639">
        <w:t xml:space="preserve"> keretében sajtómegjelenéseket is szervezett 2009-től:</w:t>
      </w:r>
    </w:p>
    <w:p w:rsidR="0064188A" w:rsidRPr="00F64639" w:rsidRDefault="0064188A" w:rsidP="00DF4BBF">
      <w:pPr>
        <w:pStyle w:val="HUNNormal"/>
        <w:numPr>
          <w:ilvl w:val="0"/>
          <w:numId w:val="24"/>
        </w:numPr>
        <w:tabs>
          <w:tab w:val="left" w:pos="709"/>
        </w:tabs>
      </w:pPr>
      <w:r w:rsidRPr="00F64639">
        <w:t xml:space="preserve">Magyar Mezőgazdaság heti 1 alkalommal </w:t>
      </w:r>
      <w:proofErr w:type="gramStart"/>
      <w:r w:rsidRPr="00F64639">
        <w:t>A</w:t>
      </w:r>
      <w:proofErr w:type="gramEnd"/>
      <w:r w:rsidRPr="00F64639">
        <w:t>/4 oldal terjedelemig;</w:t>
      </w:r>
    </w:p>
    <w:p w:rsidR="0064188A" w:rsidRPr="00F64639" w:rsidRDefault="0064188A" w:rsidP="00DF4BBF">
      <w:pPr>
        <w:pStyle w:val="HUNNormal"/>
        <w:numPr>
          <w:ilvl w:val="0"/>
          <w:numId w:val="24"/>
        </w:numPr>
        <w:tabs>
          <w:tab w:val="left" w:pos="709"/>
        </w:tabs>
      </w:pPr>
      <w:r w:rsidRPr="00F64639">
        <w:t xml:space="preserve">Agrárium lapszámonként 1 </w:t>
      </w:r>
      <w:proofErr w:type="gramStart"/>
      <w:r w:rsidRPr="00F64639">
        <w:t>A</w:t>
      </w:r>
      <w:proofErr w:type="gramEnd"/>
      <w:r w:rsidRPr="00F64639">
        <w:t>/4 oldal terjedelemig (összevont lapszám esetén 2 A/4 oldal);</w:t>
      </w:r>
    </w:p>
    <w:p w:rsidR="0064188A" w:rsidRPr="00F64639" w:rsidRDefault="0064188A" w:rsidP="00DF4BBF">
      <w:pPr>
        <w:pStyle w:val="HUNNormal"/>
        <w:numPr>
          <w:ilvl w:val="0"/>
          <w:numId w:val="24"/>
        </w:numPr>
        <w:tabs>
          <w:tab w:val="left" w:pos="709"/>
        </w:tabs>
      </w:pPr>
      <w:r w:rsidRPr="00F64639">
        <w:t>Világgazdaság, havonta 1 alkalom ¼ oldal terjedelemig;</w:t>
      </w:r>
    </w:p>
    <w:p w:rsidR="0064188A" w:rsidRPr="00F64639" w:rsidRDefault="0064188A" w:rsidP="00DF4BBF">
      <w:pPr>
        <w:pStyle w:val="HUNNormal"/>
        <w:numPr>
          <w:ilvl w:val="0"/>
          <w:numId w:val="24"/>
        </w:numPr>
        <w:tabs>
          <w:tab w:val="left" w:pos="709"/>
        </w:tabs>
      </w:pPr>
      <w:proofErr w:type="spellStart"/>
      <w:r w:rsidRPr="00F64639">
        <w:t>Hajnal-Táj</w:t>
      </w:r>
      <w:proofErr w:type="spellEnd"/>
      <w:r w:rsidRPr="00F64639">
        <w:t xml:space="preserve"> (Kossuth rádió) havi 1 perc terjedelemig;</w:t>
      </w:r>
    </w:p>
    <w:p w:rsidR="0064188A" w:rsidRPr="00F64639" w:rsidRDefault="0064188A" w:rsidP="00DF4BBF">
      <w:pPr>
        <w:pStyle w:val="HUNNormal"/>
        <w:numPr>
          <w:ilvl w:val="0"/>
          <w:numId w:val="24"/>
        </w:numPr>
        <w:tabs>
          <w:tab w:val="left" w:pos="709"/>
        </w:tabs>
      </w:pPr>
      <w:r w:rsidRPr="00F64639">
        <w:t xml:space="preserve">Gazdakör (Duna </w:t>
      </w:r>
      <w:proofErr w:type="gramStart"/>
      <w:r w:rsidRPr="00F64639">
        <w:t>Tv )</w:t>
      </w:r>
      <w:proofErr w:type="gramEnd"/>
      <w:r w:rsidRPr="00F64639">
        <w:t xml:space="preserve"> havi 1 perc terjedelemig;</w:t>
      </w:r>
    </w:p>
    <w:p w:rsidR="0064188A" w:rsidRPr="00F64639" w:rsidRDefault="005A6348" w:rsidP="00DF4BBF">
      <w:pPr>
        <w:pStyle w:val="HUNNormal"/>
        <w:numPr>
          <w:ilvl w:val="0"/>
          <w:numId w:val="24"/>
        </w:numPr>
        <w:tabs>
          <w:tab w:val="left" w:pos="709"/>
        </w:tabs>
      </w:pPr>
      <w:r w:rsidRPr="00F64639">
        <w:t>R</w:t>
      </w:r>
      <w:r w:rsidR="0064188A" w:rsidRPr="00F64639">
        <w:t xml:space="preserve">egionális megjelenés éves szinten 30 alkalom, a megyei igényeknek megfelelően (napilap, vagy helyi/regionális rádió, vagy helyi/regionális </w:t>
      </w:r>
      <w:r w:rsidR="004F56B8" w:rsidRPr="00F64639">
        <w:t>televízió)</w:t>
      </w:r>
      <w:r w:rsidR="0064188A" w:rsidRPr="00F64639">
        <w:t>.</w:t>
      </w:r>
    </w:p>
    <w:p w:rsidR="008915AD" w:rsidRPr="00F64639" w:rsidRDefault="008915AD" w:rsidP="00BA3419">
      <w:pPr>
        <w:pStyle w:val="HUNNormal"/>
        <w:tabs>
          <w:tab w:val="left" w:pos="709"/>
        </w:tabs>
      </w:pPr>
    </w:p>
    <w:p w:rsidR="00B42F7F" w:rsidRPr="00F64639" w:rsidRDefault="008915AD" w:rsidP="00BA3419">
      <w:pPr>
        <w:pStyle w:val="HUNNormal"/>
        <w:tabs>
          <w:tab w:val="left" w:pos="709"/>
        </w:tabs>
        <w:rPr>
          <w:b/>
        </w:rPr>
      </w:pPr>
      <w:r w:rsidRPr="00F64639">
        <w:rPr>
          <w:b/>
        </w:rPr>
        <w:t>Relevanciaelemzés</w:t>
      </w:r>
    </w:p>
    <w:p w:rsidR="008915AD" w:rsidRPr="00F64639" w:rsidRDefault="008915AD" w:rsidP="00BA3419">
      <w:pPr>
        <w:pStyle w:val="HUNNormal"/>
        <w:tabs>
          <w:tab w:val="left" w:pos="709"/>
        </w:tabs>
      </w:pPr>
      <w:r w:rsidRPr="00F64639">
        <w:t xml:space="preserve">A beavatkozás relevánsnak tekinthető az intézkedés céljai szempontjából. A gazdálkodók informáltságának bővítése elengedhetetlen feltétele a versenyképesség és a fenntarthatóság növelésének. A beavatkozás várhatóan eléri az </w:t>
      </w:r>
      <w:proofErr w:type="spellStart"/>
      <w:r w:rsidRPr="00F64639">
        <w:t>ÚMVP-ben</w:t>
      </w:r>
      <w:proofErr w:type="spellEnd"/>
      <w:r w:rsidRPr="00F64639">
        <w:t xml:space="preserve"> rögzített indikátor értéket (270.000 az információs pontokat felkeresők sz</w:t>
      </w:r>
      <w:r w:rsidRPr="00F64639">
        <w:t>á</w:t>
      </w:r>
      <w:r w:rsidRPr="00F64639">
        <w:t>ma).</w:t>
      </w:r>
    </w:p>
    <w:p w:rsidR="008915AD" w:rsidRPr="00F64639" w:rsidRDefault="008915AD" w:rsidP="00BA3419">
      <w:pPr>
        <w:pStyle w:val="HUNNormal"/>
        <w:tabs>
          <w:tab w:val="left" w:pos="709"/>
        </w:tabs>
      </w:pPr>
    </w:p>
    <w:p w:rsidR="00502D84" w:rsidRPr="00F64639" w:rsidRDefault="00502D84" w:rsidP="00BA3419">
      <w:pPr>
        <w:pStyle w:val="HUNNormal"/>
        <w:tabs>
          <w:tab w:val="left" w:pos="709"/>
        </w:tabs>
        <w:rPr>
          <w:b/>
        </w:rPr>
      </w:pPr>
      <w:r w:rsidRPr="00F64639">
        <w:rPr>
          <w:b/>
        </w:rPr>
        <w:t>Hatáselemzés:</w:t>
      </w:r>
    </w:p>
    <w:p w:rsidR="00C70B84" w:rsidRPr="00F64639" w:rsidRDefault="00502D84" w:rsidP="00BA3419">
      <w:pPr>
        <w:pStyle w:val="HUNNormal"/>
        <w:tabs>
          <w:tab w:val="left" w:pos="709"/>
        </w:tabs>
      </w:pPr>
      <w:r w:rsidRPr="00F64639">
        <w:rPr>
          <w:b/>
        </w:rPr>
        <w:t>A beavatkozástól hipotézisü</w:t>
      </w:r>
      <w:r w:rsidR="00F923DC">
        <w:rPr>
          <w:b/>
        </w:rPr>
        <w:t>n</w:t>
      </w:r>
      <w:r w:rsidRPr="00F64639">
        <w:rPr>
          <w:b/>
        </w:rPr>
        <w:t xml:space="preserve">k szerint a gazdálkodók tudásszintjének növekedését, az abszorpciós potenciál növelését vártuk, mindezeken keresztül pedig a versenyképesség </w:t>
      </w:r>
      <w:r w:rsidR="00E30527" w:rsidRPr="00F64639">
        <w:rPr>
          <w:b/>
        </w:rPr>
        <w:t>erősítését</w:t>
      </w:r>
      <w:r w:rsidRPr="00F64639">
        <w:rPr>
          <w:b/>
        </w:rPr>
        <w:t>.</w:t>
      </w:r>
      <w:r w:rsidRPr="00F64639">
        <w:t xml:space="preserve"> </w:t>
      </w:r>
      <w:r w:rsidR="00502DBA" w:rsidRPr="00F64639">
        <w:t>A várt hatások</w:t>
      </w:r>
      <w:r w:rsidR="00C70B84" w:rsidRPr="00F64639">
        <w:t xml:space="preserve"> közvetlen kim</w:t>
      </w:r>
      <w:r w:rsidR="00C70B84" w:rsidRPr="00F64639">
        <w:t>é</w:t>
      </w:r>
      <w:r w:rsidR="00C70B84" w:rsidRPr="00F64639">
        <w:t>rése nem lehetséges, mert azokra (pl.: versenyképesség) más tényezők is hatnak, továbbá jelentkezésük inkább kö</w:t>
      </w:r>
      <w:r w:rsidR="00E30527" w:rsidRPr="00F64639">
        <w:t>zép, hosszú</w:t>
      </w:r>
      <w:r w:rsidR="00C70B84" w:rsidRPr="00F64639">
        <w:t>távon várható.</w:t>
      </w:r>
    </w:p>
    <w:p w:rsidR="00C70B84" w:rsidRPr="00F64639" w:rsidRDefault="00E4154B" w:rsidP="00BA3419">
      <w:pPr>
        <w:pStyle w:val="HUNNormal"/>
        <w:tabs>
          <w:tab w:val="left" w:pos="709"/>
        </w:tabs>
      </w:pPr>
      <w:r w:rsidRPr="00F64639">
        <w:t>A</w:t>
      </w:r>
      <w:r w:rsidR="00C70B84" w:rsidRPr="00F64639">
        <w:t xml:space="preserve"> hatásmechanizmus </w:t>
      </w:r>
      <w:r w:rsidRPr="00F64639">
        <w:t xml:space="preserve">így csak </w:t>
      </w:r>
      <w:r w:rsidR="00C70B84" w:rsidRPr="00F64639">
        <w:t>részben vizsgálható a tevékenységek vizsgálatán és a szolgáltatást igényb</w:t>
      </w:r>
      <w:r w:rsidR="00C70B84" w:rsidRPr="00F64639">
        <w:t>e</w:t>
      </w:r>
      <w:r w:rsidR="00C70B84" w:rsidRPr="00F64639">
        <w:t>vevők elégedettségének mérésén keresztül.</w:t>
      </w:r>
    </w:p>
    <w:p w:rsidR="00C70B84" w:rsidRPr="00F64639" w:rsidRDefault="00C70B84" w:rsidP="00BA3419">
      <w:pPr>
        <w:pStyle w:val="HUNNormal"/>
        <w:tabs>
          <w:tab w:val="left" w:pos="709"/>
        </w:tabs>
      </w:pPr>
      <w:r w:rsidRPr="00F64639">
        <w:t>A GISZ hatásait és részben hatékonyságát mind 2009-ben, mind 2010-ben elégedettségmérések is vizsgá</w:t>
      </w:r>
      <w:r w:rsidRPr="00F64639">
        <w:t>l</w:t>
      </w:r>
      <w:r w:rsidRPr="00F64639">
        <w:t>ták.</w:t>
      </w:r>
    </w:p>
    <w:p w:rsidR="00C70B84" w:rsidRPr="00F64639" w:rsidRDefault="00C70B84" w:rsidP="00BA3419">
      <w:pPr>
        <w:pStyle w:val="HUNNormal"/>
        <w:tabs>
          <w:tab w:val="left" w:pos="709"/>
        </w:tabs>
      </w:pPr>
      <w:r w:rsidRPr="00F64639">
        <w:t xml:space="preserve">2009-ben az Agrárkamara maga végzett felmérést, majd 2010-ben szinte </w:t>
      </w:r>
      <w:r w:rsidR="00E05252" w:rsidRPr="00F64639">
        <w:t>egy időben</w:t>
      </w:r>
      <w:r w:rsidRPr="00F64639">
        <w:t xml:space="preserve"> az Agrárkamara me</w:t>
      </w:r>
      <w:r w:rsidRPr="00F64639">
        <w:t>g</w:t>
      </w:r>
      <w:r w:rsidRPr="00F64639">
        <w:t xml:space="preserve">rendelésére a MCMINE Kft., és a VKSZI felkérésére </w:t>
      </w:r>
      <w:r w:rsidR="003C7574" w:rsidRPr="00F64639">
        <w:t>az</w:t>
      </w:r>
      <w:r w:rsidRPr="00F64639">
        <w:t xml:space="preserve"> Ipsos is készített </w:t>
      </w:r>
      <w:r w:rsidR="00511B72" w:rsidRPr="00F64639">
        <w:t>közvélemény-kutatást</w:t>
      </w:r>
      <w:r w:rsidRPr="00F64639">
        <w:t xml:space="preserve">. </w:t>
      </w:r>
    </w:p>
    <w:p w:rsidR="00C70B84" w:rsidRPr="00F64639" w:rsidRDefault="00511B72" w:rsidP="00BA3419">
      <w:pPr>
        <w:pStyle w:val="HUNNormal"/>
        <w:tabs>
          <w:tab w:val="left" w:pos="709"/>
        </w:tabs>
      </w:pPr>
      <w:r w:rsidRPr="00F64639">
        <w:lastRenderedPageBreak/>
        <w:t>Mind az MCMINE Kft., mind a</w:t>
      </w:r>
      <w:r w:rsidR="003C7574" w:rsidRPr="00F64639">
        <w:t>z</w:t>
      </w:r>
      <w:r w:rsidRPr="00F64639">
        <w:t xml:space="preserve"> Ipsos kutatása magas elégedettséget mért a szolgáltatást igénybevevők k</w:t>
      </w:r>
      <w:r w:rsidRPr="00F64639">
        <w:t>ö</w:t>
      </w:r>
      <w:r w:rsidRPr="00F64639">
        <w:t>rében.</w:t>
      </w:r>
      <w:r w:rsidR="00B879B8" w:rsidRPr="00F64639">
        <w:t xml:space="preserve"> Az MCMINE Kft. (2010) felmérése szerint az igénybevevők többsége elégedett a tanácsadók aktivit</w:t>
      </w:r>
      <w:r w:rsidR="00B879B8" w:rsidRPr="00F64639">
        <w:t>á</w:t>
      </w:r>
      <w:r w:rsidR="00B879B8" w:rsidRPr="00F64639">
        <w:t>sával</w:t>
      </w:r>
      <w:r w:rsidR="0060073E" w:rsidRPr="00F64639">
        <w:t>, felkészültségével</w:t>
      </w:r>
      <w:r w:rsidR="00B879B8" w:rsidRPr="00F64639">
        <w:t xml:space="preserve"> és a </w:t>
      </w:r>
      <w:r w:rsidR="0060073E" w:rsidRPr="00F64639">
        <w:t>tanácsadás formáival is.</w:t>
      </w:r>
    </w:p>
    <w:p w:rsidR="00E05252" w:rsidRPr="00F64639" w:rsidRDefault="00EC585B" w:rsidP="00BA3419">
      <w:pPr>
        <w:pStyle w:val="HUNNormal"/>
        <w:tabs>
          <w:tab w:val="left" w:pos="709"/>
        </w:tabs>
      </w:pPr>
      <w:r w:rsidRPr="00F64639">
        <w:t>Ugyanezen felmérés szerint a</w:t>
      </w:r>
      <w:r w:rsidR="0060073E" w:rsidRPr="00F64639">
        <w:t xml:space="preserve"> megkérdezetteknek csak 26,6%-a válaszolta azt, hogy nem szokott részt venni a GISZ által szervezett csoportos rendezvényeken. Ez meglehetősen m</w:t>
      </w:r>
      <w:r w:rsidR="00E05252" w:rsidRPr="00F64639">
        <w:t>agas elérési hatékonyságra utal. A teljes ÚMVP ügyfélkört felmérő Szonda Ipsos felmérés szerint a megkérdezettek 3%-</w:t>
      </w:r>
      <w:proofErr w:type="gramStart"/>
      <w:r w:rsidR="00E05252" w:rsidRPr="00F64639">
        <w:t>a</w:t>
      </w:r>
      <w:proofErr w:type="gramEnd"/>
      <w:r w:rsidR="00E05252" w:rsidRPr="00F64639">
        <w:t xml:space="preserve"> értesült a támogatási lehetőségről az agrárkamarai tanácsadótól. A jelentős eltérést </w:t>
      </w:r>
      <w:r w:rsidR="00551EA7" w:rsidRPr="00F64639">
        <w:t xml:space="preserve">valószínűleg </w:t>
      </w:r>
      <w:r w:rsidR="00E05252" w:rsidRPr="00F64639">
        <w:t>a különböző célcsoport okozha</w:t>
      </w:r>
      <w:r w:rsidR="00E05252" w:rsidRPr="00F64639">
        <w:t>t</w:t>
      </w:r>
      <w:r w:rsidR="003C7574" w:rsidRPr="00F64639">
        <w:t xml:space="preserve">ja: </w:t>
      </w:r>
    </w:p>
    <w:p w:rsidR="00E05252" w:rsidRPr="00F64639" w:rsidRDefault="003C7574" w:rsidP="00BA3419">
      <w:pPr>
        <w:pStyle w:val="HUNNormal"/>
        <w:tabs>
          <w:tab w:val="left" w:pos="709"/>
        </w:tabs>
      </w:pPr>
      <w:r w:rsidRPr="00F64639">
        <w:t>Az</w:t>
      </w:r>
      <w:r w:rsidR="00E05252" w:rsidRPr="00F64639">
        <w:t xml:space="preserve"> Ipsos felmérésben a megkérdezettek 6%-a nyilatkozott úgy, hogy agrárkamarai tanácsadó segítségét ve</w:t>
      </w:r>
      <w:r w:rsidR="00E05252" w:rsidRPr="00F64639">
        <w:t>t</w:t>
      </w:r>
      <w:r w:rsidR="00E05252" w:rsidRPr="00F64639">
        <w:t xml:space="preserve">te igénybe, </w:t>
      </w:r>
      <w:r w:rsidR="00E4154B" w:rsidRPr="00F64639">
        <w:t>összehasonlításképpen érdemes megmutatni, hogy a válaszadók</w:t>
      </w:r>
      <w:r w:rsidR="00E05252" w:rsidRPr="00F64639">
        <w:t xml:space="preserve"> 13%-a falugazdász hálózatot jelölt meg.</w:t>
      </w:r>
      <w:r w:rsidR="00E4154B" w:rsidRPr="00F64639">
        <w:t xml:space="preserve"> Ez a két hálózat eltérő mértékű beágyazottságára utal, ami nyilvánvalóan következik abból, hogy a falugazdász hálózat sokkal régebben kezdte meg működését.</w:t>
      </w:r>
    </w:p>
    <w:p w:rsidR="0060073E" w:rsidRPr="00F64639" w:rsidRDefault="00EC585B" w:rsidP="00BA3419">
      <w:pPr>
        <w:pStyle w:val="HUNNormal"/>
        <w:tabs>
          <w:tab w:val="left" w:pos="709"/>
        </w:tabs>
      </w:pPr>
      <w:r w:rsidRPr="00F64639">
        <w:t>A</w:t>
      </w:r>
      <w:r w:rsidR="00E05252" w:rsidRPr="00F64639">
        <w:t>z MCMINE Kft. (2010)</w:t>
      </w:r>
      <w:r w:rsidRPr="00F64639">
        <w:t xml:space="preserve"> </w:t>
      </w:r>
      <w:r w:rsidR="00E05252" w:rsidRPr="00F64639">
        <w:t xml:space="preserve">vizsgálata szerint az </w:t>
      </w:r>
      <w:r w:rsidRPr="00F64639">
        <w:t xml:space="preserve">elért célcsoportban túlnyomó többségben azok a vállalkozások voltak, amelyek árbevétele 500 m Ft alatt van (91%), a 100 m </w:t>
      </w:r>
      <w:r w:rsidR="0022006B" w:rsidRPr="00F64639">
        <w:t>Ft</w:t>
      </w:r>
      <w:r w:rsidRPr="00F64639">
        <w:t xml:space="preserve"> alatti árbevétellel rendelkezők aránya is még 77,8% volt. Az ügyfelek 56,2%-a növénytermesztéssel, 18,9%-</w:t>
      </w:r>
      <w:proofErr w:type="gramStart"/>
      <w:r w:rsidRPr="00F64639">
        <w:t>a</w:t>
      </w:r>
      <w:proofErr w:type="gramEnd"/>
      <w:r w:rsidRPr="00F64639">
        <w:t xml:space="preserve"> állattenyészéssel, 6,2%-a kertészettel, 1%-a erdő-, vadgazdálkodással foglalkozott.</w:t>
      </w:r>
    </w:p>
    <w:p w:rsidR="00C70B84" w:rsidRPr="00F64639" w:rsidRDefault="00E4154B" w:rsidP="00BA3419">
      <w:pPr>
        <w:pStyle w:val="HUNNormal"/>
        <w:tabs>
          <w:tab w:val="left" w:pos="709"/>
        </w:tabs>
      </w:pPr>
      <w:r w:rsidRPr="00F64639">
        <w:t>A</w:t>
      </w:r>
      <w:r w:rsidR="00B879B8" w:rsidRPr="00F64639">
        <w:t xml:space="preserve"> 2010-es felmérésben (MCMINE Kft.) csak a válaszadók 15%-a jelölte meg az üzleti, piaci információk t</w:t>
      </w:r>
      <w:r w:rsidR="00B879B8" w:rsidRPr="00F64639">
        <w:t>é</w:t>
      </w:r>
      <w:r w:rsidR="00B879B8" w:rsidRPr="00F64639">
        <w:t>makört olyannak, amelyek a GISZ szolgáltatásként a leginkább érdeklik. 2009-ben (Agrárkamara) ez a szám még 39% volt.</w:t>
      </w:r>
    </w:p>
    <w:p w:rsidR="00502D84" w:rsidRPr="00F64639" w:rsidRDefault="00502DBA" w:rsidP="00BA3419">
      <w:pPr>
        <w:pStyle w:val="HUNNormal"/>
        <w:tabs>
          <w:tab w:val="left" w:pos="709"/>
        </w:tabs>
        <w:rPr>
          <w:b/>
        </w:rPr>
      </w:pPr>
      <w:r w:rsidRPr="00F64639">
        <w:rPr>
          <w:b/>
        </w:rPr>
        <w:t>A feltárt információk alapján (szolgáltatások, elégedettségmérés) nincs okunk feltételezni, hogy a támogatás nem az elvárt hatásmechanizmus mentén működött volna.</w:t>
      </w:r>
      <w:r w:rsidR="00E30527" w:rsidRPr="00F64639">
        <w:rPr>
          <w:b/>
        </w:rPr>
        <w:t xml:space="preserve"> Ugyanakkor valószínűsíthetően a beavatkozás elsősorban az abszorpciós potenciál erősítésében játszott hangsúlyosabb szerepet, a versenyképesség n</w:t>
      </w:r>
      <w:r w:rsidR="00E30527" w:rsidRPr="00F64639">
        <w:rPr>
          <w:b/>
        </w:rPr>
        <w:t>ö</w:t>
      </w:r>
      <w:r w:rsidR="00E30527" w:rsidRPr="00F64639">
        <w:rPr>
          <w:b/>
        </w:rPr>
        <w:t>veléséhez szükséges tudás biztosítása (üzleti, piaci információk) kevésbé volt jellemző</w:t>
      </w:r>
      <w:r w:rsidR="00D43373" w:rsidRPr="00F64639">
        <w:rPr>
          <w:b/>
        </w:rPr>
        <w:t>.</w:t>
      </w:r>
    </w:p>
    <w:p w:rsidR="00551EA7" w:rsidRPr="00F64639" w:rsidRDefault="00551EA7" w:rsidP="00BA3419">
      <w:pPr>
        <w:pStyle w:val="HUNNormal"/>
        <w:tabs>
          <w:tab w:val="left" w:pos="709"/>
        </w:tabs>
        <w:rPr>
          <w:b/>
        </w:rPr>
      </w:pPr>
      <w:r w:rsidRPr="00F64639">
        <w:rPr>
          <w:b/>
        </w:rPr>
        <w:t>A hatás továbbá elsősorban a növénytermesztési ágazatban, ott is a kis és közép méretű gazdaságok (100 m Ft bevételig) körében várható.</w:t>
      </w:r>
    </w:p>
    <w:p w:rsidR="00502D84" w:rsidRPr="00F64639" w:rsidRDefault="00502D84" w:rsidP="00BA3419">
      <w:pPr>
        <w:pStyle w:val="HUNNormal"/>
        <w:tabs>
          <w:tab w:val="left" w:pos="709"/>
        </w:tabs>
      </w:pPr>
    </w:p>
    <w:p w:rsidR="00551EA7" w:rsidRPr="00F64639" w:rsidRDefault="00551EA7" w:rsidP="00BA3419">
      <w:pPr>
        <w:pStyle w:val="HUNNormal"/>
        <w:tabs>
          <w:tab w:val="left" w:pos="709"/>
        </w:tabs>
        <w:rPr>
          <w:b/>
        </w:rPr>
      </w:pPr>
      <w:r w:rsidRPr="00F64639">
        <w:rPr>
          <w:b/>
        </w:rPr>
        <w:t>Hatékonyságelemezés:</w:t>
      </w:r>
    </w:p>
    <w:p w:rsidR="00E4154B" w:rsidRPr="00F64639" w:rsidRDefault="002B7109" w:rsidP="00BA3419">
      <w:pPr>
        <w:pStyle w:val="HUNNormal"/>
        <w:tabs>
          <w:tab w:val="left" w:pos="709"/>
        </w:tabs>
      </w:pPr>
      <w:r w:rsidRPr="00F64639">
        <w:t xml:space="preserve">Ahogy a hatások, úgy a hatékonyság elemzése is nehéz a beavatkozás jellege miatt. Ebben a tekintetben további az Agrárkamarától független felmérést javaslunk az eléréséi hatékonyság mérése során felmerült eltérések tisztázására. </w:t>
      </w:r>
    </w:p>
    <w:p w:rsidR="00551EA7" w:rsidRPr="00F64639" w:rsidRDefault="002B7109" w:rsidP="00BA3419">
      <w:pPr>
        <w:pStyle w:val="HUNNormal"/>
        <w:tabs>
          <w:tab w:val="left" w:pos="709"/>
        </w:tabs>
      </w:pPr>
      <w:r w:rsidRPr="00F64639">
        <w:t>Az interjúk alapján többen említették a falugazdász és az agrárkamarai</w:t>
      </w:r>
      <w:r w:rsidR="003C7574" w:rsidRPr="00F64639">
        <w:t xml:space="preserve"> és szaktanácsadói</w:t>
      </w:r>
      <w:r w:rsidRPr="00F64639">
        <w:t xml:space="preserve"> hálózat párhuz</w:t>
      </w:r>
      <w:r w:rsidRPr="00F64639">
        <w:t>a</w:t>
      </w:r>
      <w:r w:rsidRPr="00F64639">
        <w:t xml:space="preserve">mos működését, illetve azt, hogy </w:t>
      </w:r>
      <w:r w:rsidR="003C7574" w:rsidRPr="00F64639">
        <w:t>ezek a</w:t>
      </w:r>
      <w:r w:rsidRPr="00F64639">
        <w:t xml:space="preserve"> hálózat</w:t>
      </w:r>
      <w:r w:rsidR="003C7574" w:rsidRPr="00F64639">
        <w:t>ok</w:t>
      </w:r>
      <w:r w:rsidRPr="00F64639">
        <w:t xml:space="preserve"> egymás elől „vadássz</w:t>
      </w:r>
      <w:r w:rsidR="003C7574" w:rsidRPr="00F64639">
        <w:t>ák</w:t>
      </w:r>
      <w:r w:rsidRPr="00F64639">
        <w:t xml:space="preserve">” el a gazdálkodókat. </w:t>
      </w:r>
      <w:r w:rsidR="006B2823" w:rsidRPr="00F64639">
        <w:t>A teljes t</w:t>
      </w:r>
      <w:r w:rsidR="006B2823" w:rsidRPr="00F64639">
        <w:t>á</w:t>
      </w:r>
      <w:r w:rsidR="006B2823" w:rsidRPr="00F64639">
        <w:t>mogatói rendszer hatékonysága valószínűleg a célcsoportok, tevékenységek nagyobb összehangolásával növekedhet.</w:t>
      </w:r>
    </w:p>
    <w:p w:rsidR="00E4154B" w:rsidRPr="00F64639" w:rsidRDefault="00E4154B" w:rsidP="00BA3419">
      <w:pPr>
        <w:pStyle w:val="HUNNormal"/>
        <w:tabs>
          <w:tab w:val="left" w:pos="709"/>
        </w:tabs>
      </w:pPr>
      <w:r w:rsidRPr="00F64639">
        <w:t xml:space="preserve">A hálózat hatékonyságával kapcsolatban érdemes még figyelembe venni, hogy </w:t>
      </w:r>
      <w:r w:rsidR="00E604CC" w:rsidRPr="00F64639">
        <w:t>az ÚMVP támogatásainak</w:t>
      </w:r>
      <w:r w:rsidR="003C7574" w:rsidRPr="00F64639">
        <w:t xml:space="preserve"> kb. 60%-át a támogatottaknak csak 5%-át kitevő</w:t>
      </w:r>
      <w:r w:rsidR="00E604CC" w:rsidRPr="00F64639">
        <w:t xml:space="preserve"> nagy gazdasági erejű gazdálkodó vette fel. A GISZ a felmérések alapján elsősorban a </w:t>
      </w:r>
      <w:r w:rsidR="00BA68A5" w:rsidRPr="00F64639">
        <w:t>kis, közepes gazdálkodókat szolgálja ki, de még ezzel a szolgáltatással is a nagy ga</w:t>
      </w:r>
      <w:r w:rsidR="00BA68A5" w:rsidRPr="00F64639">
        <w:t>z</w:t>
      </w:r>
      <w:r w:rsidR="00BA68A5" w:rsidRPr="00F64639">
        <w:t xml:space="preserve">daságok vannak előnyben az ÚMVP nehezen átlátható rendszerében. </w:t>
      </w:r>
    </w:p>
    <w:p w:rsidR="0057519D" w:rsidRPr="00F64639" w:rsidRDefault="0057519D" w:rsidP="00BA3419">
      <w:pPr>
        <w:pStyle w:val="HUNNormal"/>
        <w:tabs>
          <w:tab w:val="left" w:pos="709"/>
        </w:tabs>
      </w:pPr>
      <w:r w:rsidRPr="00F64639">
        <w:t xml:space="preserve">Többen jelölték meg </w:t>
      </w:r>
      <w:r w:rsidRPr="00F64639">
        <w:rPr>
          <w:b/>
        </w:rPr>
        <w:t xml:space="preserve">fejlesztési irányként a hálózat </w:t>
      </w:r>
      <w:r w:rsidR="004846A2" w:rsidRPr="00F64639">
        <w:rPr>
          <w:b/>
        </w:rPr>
        <w:t xml:space="preserve">aktivitásának növelését </w:t>
      </w:r>
      <w:r w:rsidRPr="00F64639">
        <w:rPr>
          <w:b/>
        </w:rPr>
        <w:t>a termékszerkezet, illetve a n</w:t>
      </w:r>
      <w:r w:rsidRPr="00F64639">
        <w:rPr>
          <w:b/>
        </w:rPr>
        <w:t>ö</w:t>
      </w:r>
      <w:r w:rsidRPr="00F64639">
        <w:rPr>
          <w:b/>
        </w:rPr>
        <w:t>vénytermesztés-állattenyészés struktúraváltás terén</w:t>
      </w:r>
      <w:r w:rsidR="004846A2" w:rsidRPr="00F64639">
        <w:t xml:space="preserve">. Ezek kiemelt céljai a szakpolitikának és az </w:t>
      </w:r>
      <w:proofErr w:type="spellStart"/>
      <w:r w:rsidR="004846A2" w:rsidRPr="00F64639">
        <w:t>ÚMVP-nek</w:t>
      </w:r>
      <w:proofErr w:type="spellEnd"/>
      <w:r w:rsidR="004846A2" w:rsidRPr="00F64639">
        <w:t xml:space="preserve"> </w:t>
      </w:r>
      <w:r w:rsidR="004846A2" w:rsidRPr="00F64639">
        <w:lastRenderedPageBreak/>
        <w:t>is, ugyanakkor az ügyfélkör és a tevékenységi kör vizsgálata alapján kevésbé voltak jellemzőek a beavatk</w:t>
      </w:r>
      <w:r w:rsidR="004846A2" w:rsidRPr="00F64639">
        <w:t>o</w:t>
      </w:r>
      <w:r w:rsidR="004846A2" w:rsidRPr="00F64639">
        <w:t>zásra.</w:t>
      </w:r>
    </w:p>
    <w:p w:rsidR="00E21F24" w:rsidRPr="00F64639" w:rsidRDefault="00E21F24" w:rsidP="00BA3419">
      <w:pPr>
        <w:pStyle w:val="HUNNormal"/>
        <w:tabs>
          <w:tab w:val="left" w:pos="709"/>
        </w:tabs>
      </w:pPr>
      <w:r w:rsidRPr="00F64639">
        <w:t>A résztvevők beszámolói alapján a tájékoztatók</w:t>
      </w:r>
      <w:r w:rsidR="008B0DC6" w:rsidRPr="00F64639">
        <w:t>/képzések</w:t>
      </w:r>
      <w:r w:rsidRPr="00F64639">
        <w:t xml:space="preserve"> sok esetben nagyon technikai jellegűek, elkerülik a valós hatásokkal kapcsolatos tájékoztatást és nem helyeznek hangsúlyt az orientálásra. Ez főleg az AKG intézkedéssel kapcsolatos tájékoztatásnál okoz problémát, hiszen itt a legfontosabb várt hatás a gazdálk</w:t>
      </w:r>
      <w:r w:rsidRPr="00F64639">
        <w:t>o</w:t>
      </w:r>
      <w:r w:rsidRPr="00F64639">
        <w:t xml:space="preserve">dók környezeti, természetvédelmi tudatosságának növekedése. </w:t>
      </w:r>
    </w:p>
    <w:p w:rsidR="002B7109" w:rsidRPr="00F64639" w:rsidRDefault="00EF4954" w:rsidP="00BA3419">
      <w:pPr>
        <w:pStyle w:val="HUNNormal"/>
        <w:tabs>
          <w:tab w:val="left" w:pos="709"/>
        </w:tabs>
        <w:rPr>
          <w:b/>
        </w:rPr>
      </w:pPr>
      <w:r w:rsidRPr="00F64639">
        <w:t xml:space="preserve">Javaslatként megfogalmazódott továbbá, hogy </w:t>
      </w:r>
      <w:r w:rsidRPr="00F64639">
        <w:rPr>
          <w:b/>
        </w:rPr>
        <w:t>a hálózat fejtsen</w:t>
      </w:r>
      <w:r w:rsidR="00BA68A5" w:rsidRPr="00F64639">
        <w:rPr>
          <w:b/>
        </w:rPr>
        <w:t xml:space="preserve"> ki aktivitást a klíma</w:t>
      </w:r>
      <w:r w:rsidRPr="00F64639">
        <w:rPr>
          <w:b/>
        </w:rPr>
        <w:t>változás hatásaira való felkészítés területén.</w:t>
      </w:r>
    </w:p>
    <w:p w:rsidR="00D43373" w:rsidRPr="00F64639" w:rsidRDefault="00D43373" w:rsidP="00BA3419">
      <w:pPr>
        <w:pStyle w:val="HUNNormal"/>
        <w:tabs>
          <w:tab w:val="left" w:pos="709"/>
        </w:tabs>
      </w:pPr>
    </w:p>
    <w:p w:rsidR="0038282A" w:rsidRPr="00F64639" w:rsidRDefault="00B9215E" w:rsidP="00BA3419">
      <w:pPr>
        <w:pStyle w:val="HUNNormal"/>
        <w:tabs>
          <w:tab w:val="left" w:pos="709"/>
        </w:tabs>
      </w:pPr>
      <w:r w:rsidRPr="00F64639">
        <w:t xml:space="preserve">A </w:t>
      </w:r>
      <w:r w:rsidRPr="00F64639">
        <w:rPr>
          <w:b/>
          <w:u w:val="single"/>
        </w:rPr>
        <w:t>szakmai képzések</w:t>
      </w:r>
      <w:r w:rsidRPr="00F64639">
        <w:t xml:space="preserve"> jogcím közvetlen kedvezményezettje a képzéseken résztvevő gazdálkodó, vagy az a gazdasági társaság, családi gazdaság, szövetkezet, amelynek kijelölt vezetője, tagja, alkalmazottja részt vesz a képzésen. A képzések lebonyolítását </w:t>
      </w:r>
      <w:r w:rsidRPr="00F64639">
        <w:rPr>
          <w:b/>
        </w:rPr>
        <w:t>39</w:t>
      </w:r>
      <w:r w:rsidRPr="00F64639">
        <w:t xml:space="preserve"> (a 2009-es évben pályáztatással kiválasztott, akkreditált) </w:t>
      </w:r>
      <w:r w:rsidRPr="00F64639">
        <w:rPr>
          <w:b/>
        </w:rPr>
        <w:t>Képző</w:t>
      </w:r>
      <w:r w:rsidRPr="00F64639">
        <w:rPr>
          <w:b/>
          <w:i/>
        </w:rPr>
        <w:t xml:space="preserve"> </w:t>
      </w:r>
      <w:r w:rsidRPr="00F64639">
        <w:rPr>
          <w:b/>
        </w:rPr>
        <w:t>Szervezet végzi</w:t>
      </w:r>
      <w:r w:rsidRPr="00F64639">
        <w:t>, melyek a Vidékfejlesztési, Képzési és Szaktanácsadási Intézet</w:t>
      </w:r>
      <w:r w:rsidR="003D5A91" w:rsidRPr="00F64639">
        <w:t>t</w:t>
      </w:r>
      <w:r w:rsidRPr="00F64639">
        <w:t xml:space="preserve">el (továbbiakban: VKSZI) erre vonatkozóan együttműködési megállapodást kötöttek. A jogcím kedvezményezettjei a </w:t>
      </w:r>
      <w:r w:rsidR="004D1D28">
        <w:t xml:space="preserve">kötelező és </w:t>
      </w:r>
      <w:r w:rsidRPr="00F64639">
        <w:rPr>
          <w:i/>
        </w:rPr>
        <w:t>szabadon választható</w:t>
      </w:r>
      <w:r w:rsidRPr="00F64639">
        <w:t xml:space="preserve"> szakmai képzéseken vehetnek részt. Az ÚMVP I. és II. tengelyének egyes intézkedései keretében támogatást elnyert ügyfelek számára kötelező a részvétel az intézkedésekhez kapcsolódó kötelező képzés</w:t>
      </w:r>
      <w:r w:rsidRPr="00F64639">
        <w:t>e</w:t>
      </w:r>
      <w:r w:rsidRPr="00F64639">
        <w:t>ken.</w:t>
      </w:r>
      <w:r w:rsidR="00AB2A77" w:rsidRPr="00F64639">
        <w:t xml:space="preserve"> </w:t>
      </w:r>
      <w:r w:rsidR="003D5A91" w:rsidRPr="00F64639">
        <w:rPr>
          <w:b/>
        </w:rPr>
        <w:t>A képzések minden mezőgazdasági, illetve erdő-gazdálkodó számára elérhetőek, több ÚMVP jogcím támogatottai számára pedig egyes képzések kötelezőek.</w:t>
      </w:r>
    </w:p>
    <w:p w:rsidR="008A39C2" w:rsidRPr="00F64639" w:rsidRDefault="008A39C2" w:rsidP="00BA3419">
      <w:pPr>
        <w:pStyle w:val="HUNNormal"/>
        <w:tabs>
          <w:tab w:val="left" w:pos="709"/>
        </w:tabs>
      </w:pPr>
      <w:r w:rsidRPr="00F64639">
        <w:t xml:space="preserve">A jogcímet a 139/2008 (X.22) FVM rendelet hirdette meg. A támogatás az elszámolható kiadások 100%, amely </w:t>
      </w:r>
      <w:r w:rsidR="00481655" w:rsidRPr="00F64639">
        <w:t xml:space="preserve">a nem kötelező képzések esetén </w:t>
      </w:r>
      <w:r w:rsidRPr="00F64639">
        <w:t>nem lehetett töb</w:t>
      </w:r>
      <w:r w:rsidR="004F56B8" w:rsidRPr="00F64639">
        <w:t xml:space="preserve">b mint évente 275 </w:t>
      </w:r>
      <w:r w:rsidRPr="00F64639">
        <w:t>000 Ft.</w:t>
      </w:r>
    </w:p>
    <w:p w:rsidR="00854876" w:rsidRPr="00F64639" w:rsidRDefault="00AB2A77" w:rsidP="00BA3419">
      <w:pPr>
        <w:pStyle w:val="HUNNormal"/>
        <w:tabs>
          <w:tab w:val="left" w:pos="709"/>
        </w:tabs>
      </w:pPr>
      <w:r w:rsidRPr="00F64639">
        <w:t>A képzések s</w:t>
      </w:r>
      <w:r w:rsidR="00F97CEA" w:rsidRPr="00F64639">
        <w:t>zakmai tartalmának kialakítását</w:t>
      </w:r>
      <w:r w:rsidRPr="00F64639">
        <w:t xml:space="preserve"> az Irányító Hatóság </w:t>
      </w:r>
      <w:r w:rsidR="00F97CEA" w:rsidRPr="00F64639">
        <w:t>jogcímfelelősei, valamint az Agrárkamara</w:t>
      </w:r>
      <w:r w:rsidRPr="00F64639">
        <w:t xml:space="preserve">, </w:t>
      </w:r>
      <w:r w:rsidR="00F97CEA" w:rsidRPr="00F64639">
        <w:t>és több szakmai sze</w:t>
      </w:r>
      <w:r w:rsidR="00BF5BEC" w:rsidRPr="00F64639">
        <w:t>rvezet szakértője végezte el</w:t>
      </w:r>
      <w:r w:rsidR="00854876" w:rsidRPr="00F64639">
        <w:t>.</w:t>
      </w:r>
    </w:p>
    <w:p w:rsidR="00481655" w:rsidRPr="00F64639" w:rsidRDefault="00BF5BEC" w:rsidP="00BA3419">
      <w:pPr>
        <w:pStyle w:val="HUNNormal"/>
        <w:tabs>
          <w:tab w:val="left" w:pos="709"/>
        </w:tabs>
      </w:pPr>
      <w:r w:rsidRPr="00F64639">
        <w:rPr>
          <w:b/>
        </w:rPr>
        <w:t>A jogcím ténylegesen 2009 végén indulhatott el</w:t>
      </w:r>
      <w:r w:rsidRPr="00F64639">
        <w:t>: a Képző Szervezetek kiválasztását követően az első képz</w:t>
      </w:r>
      <w:r w:rsidRPr="00F64639">
        <w:t>é</w:t>
      </w:r>
      <w:r w:rsidRPr="00F64639">
        <w:t xml:space="preserve">sek díját visszaigénylő támogatási kérelmek 2009 </w:t>
      </w:r>
      <w:r w:rsidR="00481655" w:rsidRPr="00F64639">
        <w:t>októberében</w:t>
      </w:r>
      <w:r w:rsidRPr="00F64639">
        <w:t xml:space="preserve"> érkeztek be az </w:t>
      </w:r>
      <w:proofErr w:type="spellStart"/>
      <w:r w:rsidRPr="00F64639">
        <w:t>MVH-hoz</w:t>
      </w:r>
      <w:proofErr w:type="spellEnd"/>
      <w:r w:rsidR="00F91417" w:rsidRPr="00F64639">
        <w:t xml:space="preserve"> (18 db), majd </w:t>
      </w:r>
      <w:r w:rsidRPr="00F64639">
        <w:t>2010</w:t>
      </w:r>
      <w:r w:rsidR="00946C27" w:rsidRPr="00F64639">
        <w:t xml:space="preserve">-ben érezhetően megnőtt az érdeklődés: február-március hónapokban </w:t>
      </w:r>
      <w:bookmarkStart w:id="3" w:name="OLE_LINK1"/>
      <w:bookmarkStart w:id="4" w:name="OLE_LINK2"/>
      <w:r w:rsidRPr="00F64639">
        <w:t>2617</w:t>
      </w:r>
      <w:bookmarkEnd w:id="3"/>
      <w:bookmarkEnd w:id="4"/>
      <w:r w:rsidR="00946C27" w:rsidRPr="00F64639">
        <w:t>, míg júniusban</w:t>
      </w:r>
      <w:r w:rsidR="007C4CBE" w:rsidRPr="00F64639">
        <w:t xml:space="preserve"> újabb 3362 db kérelem érkezett a pályázóktól</w:t>
      </w:r>
      <w:r w:rsidR="00F91417" w:rsidRPr="00F64639">
        <w:t xml:space="preserve">. </w:t>
      </w:r>
      <w:r w:rsidR="004D1D28" w:rsidRPr="00F64639">
        <w:rPr>
          <w:b/>
        </w:rPr>
        <w:t xml:space="preserve">2010. </w:t>
      </w:r>
      <w:proofErr w:type="gramStart"/>
      <w:r w:rsidR="004D1D28" w:rsidRPr="00F64639">
        <w:rPr>
          <w:b/>
        </w:rPr>
        <w:t xml:space="preserve">novemberéig </w:t>
      </w:r>
      <w:r w:rsidR="004D1D28" w:rsidRPr="00F64639">
        <w:t xml:space="preserve"> </w:t>
      </w:r>
      <w:r w:rsidR="004D1D28" w:rsidRPr="00F64639">
        <w:rPr>
          <w:b/>
        </w:rPr>
        <w:t>összesen</w:t>
      </w:r>
      <w:proofErr w:type="gramEnd"/>
      <w:r w:rsidR="004D1D28" w:rsidRPr="00F64639">
        <w:rPr>
          <w:b/>
        </w:rPr>
        <w:t xml:space="preserve"> </w:t>
      </w:r>
      <w:r w:rsidR="004D1D28" w:rsidRPr="00B23745">
        <w:rPr>
          <w:b/>
        </w:rPr>
        <w:t>8 db kérelem</w:t>
      </w:r>
      <w:r w:rsidR="004D1D28" w:rsidRPr="00F64639">
        <w:rPr>
          <w:b/>
        </w:rPr>
        <w:t xml:space="preserve"> jóváhagyásáról</w:t>
      </w:r>
      <w:r w:rsidR="004D1D28" w:rsidRPr="00F64639">
        <w:rPr>
          <w:b/>
          <w:i/>
        </w:rPr>
        <w:t xml:space="preserve"> </w:t>
      </w:r>
      <w:r w:rsidR="004D1D28" w:rsidRPr="00F64639">
        <w:t xml:space="preserve">és </w:t>
      </w:r>
      <w:r w:rsidR="004D1D28">
        <w:t>559</w:t>
      </w:r>
      <w:r w:rsidR="004D1D28" w:rsidRPr="00F64639">
        <w:t xml:space="preserve"> kérelem elutasításáról született döntés.  Az átfutási idő azonban rendkívül kedvezőtlen, ugyanis a döntéssel rendelkező kérelmek átlagosan 172 naptári napot állnak az </w:t>
      </w:r>
      <w:proofErr w:type="spellStart"/>
      <w:r w:rsidR="004D1D28" w:rsidRPr="00F64639">
        <w:t>MVH-nál</w:t>
      </w:r>
      <w:proofErr w:type="spellEnd"/>
      <w:r w:rsidR="004D1D28" w:rsidRPr="00F64639">
        <w:t xml:space="preserve">, a támogatási döntés - és </w:t>
      </w:r>
      <w:r w:rsidR="004D1D28" w:rsidRPr="00B23745">
        <w:t>a kifizetés megtörténéséig</w:t>
      </w:r>
      <w:r w:rsidR="004D1D28">
        <w:t>.</w:t>
      </w:r>
      <w:r w:rsidR="00946C27" w:rsidRPr="00F64639">
        <w:t xml:space="preserve"> </w:t>
      </w:r>
      <w:r w:rsidR="008B06B2" w:rsidRPr="00F64639">
        <w:t>Mind</w:t>
      </w:r>
      <w:r w:rsidR="00481655" w:rsidRPr="00F64639">
        <w:t>enképpen pozitívnak értékelhető</w:t>
      </w:r>
      <w:r w:rsidR="008B06B2" w:rsidRPr="00F64639">
        <w:t xml:space="preserve"> az elektronikus kérelembeadás (még ha a mellékl</w:t>
      </w:r>
      <w:r w:rsidR="008B06B2" w:rsidRPr="00F64639">
        <w:t>e</w:t>
      </w:r>
      <w:r w:rsidR="008B06B2" w:rsidRPr="00F64639">
        <w:t>teket, bizonylatokat papíron is be kell</w:t>
      </w:r>
      <w:r w:rsidR="00DE5AB9" w:rsidRPr="00F64639">
        <w:t>ett</w:t>
      </w:r>
      <w:r w:rsidR="008B06B2" w:rsidRPr="00F64639">
        <w:t xml:space="preserve"> adni), azonban az e-ügyintézés eddig nem váltotta be azt a reményt, hogy </w:t>
      </w:r>
      <w:r w:rsidR="00481655" w:rsidRPr="00F64639">
        <w:t xml:space="preserve">jelentősen </w:t>
      </w:r>
      <w:r w:rsidR="008B06B2" w:rsidRPr="00F64639">
        <w:t>felgyorsítja a bírálati és kifizetési folyamatot.</w:t>
      </w:r>
      <w:r w:rsidR="00481655" w:rsidRPr="00F64639">
        <w:t xml:space="preserve"> A februári és a júniusi kérelmek kezelése már gyorsabb ügyintézés tapasztalható, a forrásjóváhagyások az MVH részéről megkérésre kerültek 2010. 11. 19-én. </w:t>
      </w:r>
    </w:p>
    <w:p w:rsidR="005A2011" w:rsidRPr="00F64639" w:rsidRDefault="005A2011" w:rsidP="00BA3419">
      <w:pPr>
        <w:pStyle w:val="HUNNormal"/>
        <w:tabs>
          <w:tab w:val="left" w:pos="709"/>
        </w:tabs>
      </w:pPr>
      <w:r w:rsidRPr="00F64639">
        <w:t xml:space="preserve">Az IIER 2010.06.30-i adatlekérdezése alapján megállapítható, hogy a </w:t>
      </w:r>
      <w:r w:rsidR="00CB47DB" w:rsidRPr="00F64639">
        <w:t xml:space="preserve">jogcím különösen </w:t>
      </w:r>
      <w:r w:rsidRPr="00F64639">
        <w:rPr>
          <w:b/>
        </w:rPr>
        <w:t xml:space="preserve">a </w:t>
      </w:r>
      <w:r w:rsidRPr="00F64639">
        <w:rPr>
          <w:b/>
          <w:i/>
        </w:rPr>
        <w:t>magánszemélyek</w:t>
      </w:r>
      <w:r w:rsidRPr="00F64639">
        <w:rPr>
          <w:b/>
        </w:rPr>
        <w:t xml:space="preserve"> körében volt </w:t>
      </w:r>
      <w:r w:rsidRPr="00F64639">
        <w:rPr>
          <w:b/>
          <w:i/>
        </w:rPr>
        <w:t>népszerű</w:t>
      </w:r>
      <w:r w:rsidR="00626545" w:rsidRPr="00F64639">
        <w:rPr>
          <w:b/>
          <w:i/>
        </w:rPr>
        <w:t xml:space="preserve">. </w:t>
      </w:r>
      <w:r w:rsidRPr="00F64639">
        <w:t xml:space="preserve"> (</w:t>
      </w:r>
      <w:r w:rsidR="00626545" w:rsidRPr="00F64639">
        <w:t>A</w:t>
      </w:r>
      <w:r w:rsidRPr="00F64639">
        <w:t xml:space="preserve"> kérelmek 79%-át magánszemélyek, 21%-át szervezetek nyújtották be</w:t>
      </w:r>
      <w:r w:rsidR="00626545" w:rsidRPr="00F64639">
        <w:t>.</w:t>
      </w:r>
      <w:r w:rsidRPr="00F64639">
        <w:t xml:space="preserve">) </w:t>
      </w:r>
      <w:r w:rsidR="00626545" w:rsidRPr="00F64639">
        <w:t>A</w:t>
      </w:r>
      <w:r w:rsidRPr="00F64639">
        <w:t xml:space="preserve"> </w:t>
      </w:r>
      <w:r w:rsidRPr="00F64639">
        <w:rPr>
          <w:b/>
          <w:i/>
        </w:rPr>
        <w:t>szerv</w:t>
      </w:r>
      <w:r w:rsidRPr="00F64639">
        <w:rPr>
          <w:b/>
          <w:i/>
        </w:rPr>
        <w:t>e</w:t>
      </w:r>
      <w:r w:rsidRPr="00F64639">
        <w:rPr>
          <w:b/>
          <w:i/>
        </w:rPr>
        <w:t>zetek</w:t>
      </w:r>
      <w:r w:rsidRPr="00F64639">
        <w:t xml:space="preserve"> között </w:t>
      </w:r>
      <w:r w:rsidRPr="00F64639">
        <w:rPr>
          <w:b/>
          <w:i/>
        </w:rPr>
        <w:t>kiemelkedő</w:t>
      </w:r>
      <w:r w:rsidRPr="00F64639">
        <w:t xml:space="preserve"> volt a </w:t>
      </w:r>
      <w:r w:rsidRPr="00F64639">
        <w:rPr>
          <w:b/>
          <w:i/>
        </w:rPr>
        <w:t>gabonafélék</w:t>
      </w:r>
      <w:r w:rsidRPr="00F64639">
        <w:t xml:space="preserve">, hüvelyes és olajos magvak (34%), valamint a </w:t>
      </w:r>
      <w:r w:rsidRPr="00F64639">
        <w:rPr>
          <w:b/>
          <w:i/>
        </w:rPr>
        <w:t>szőlőfélék</w:t>
      </w:r>
      <w:r w:rsidRPr="00F64639">
        <w:t xml:space="preserve"> (13%) termesztésével foglalkozók </w:t>
      </w:r>
      <w:proofErr w:type="gramStart"/>
      <w:r w:rsidRPr="00F64639">
        <w:t>aránya</w:t>
      </w:r>
      <w:r w:rsidRPr="00F64639">
        <w:rPr>
          <w:rStyle w:val="FootnoteReference"/>
        </w:rPr>
        <w:footnoteReference w:id="7"/>
      </w:r>
      <w:r w:rsidRPr="00F64639">
        <w:t>.</w:t>
      </w:r>
      <w:proofErr w:type="gramEnd"/>
      <w:r w:rsidR="00B92177" w:rsidRPr="00F64639">
        <w:t xml:space="preserve"> </w:t>
      </w:r>
      <w:r w:rsidR="00185116" w:rsidRPr="00F64639">
        <w:t xml:space="preserve">Érdekes adat, hogy a beérkezett támogatási kérelmek 56%-a mindössze három </w:t>
      </w:r>
      <w:r w:rsidR="00556512" w:rsidRPr="00F64639">
        <w:t xml:space="preserve">(kelet-magyarországi!) </w:t>
      </w:r>
      <w:proofErr w:type="gramStart"/>
      <w:r w:rsidR="00307749" w:rsidRPr="00F64639">
        <w:t>megyéből</w:t>
      </w:r>
      <w:proofErr w:type="gramEnd"/>
      <w:r w:rsidR="00185116" w:rsidRPr="00F64639">
        <w:t xml:space="preserve"> </w:t>
      </w:r>
      <w:r w:rsidR="00556512" w:rsidRPr="00F64639">
        <w:t>érkezett</w:t>
      </w:r>
      <w:r w:rsidR="00185116" w:rsidRPr="00F64639">
        <w:t>: Hajdú-Bihar (36%), Borsod-Abaúj-Zemplén (10%) és Sz</w:t>
      </w:r>
      <w:r w:rsidR="00185116" w:rsidRPr="00F64639">
        <w:t>a</w:t>
      </w:r>
      <w:r w:rsidR="00185116" w:rsidRPr="00F64639">
        <w:t xml:space="preserve">bolcs-Szatmár-Bereg (9%) </w:t>
      </w:r>
      <w:r w:rsidR="00662ECF" w:rsidRPr="00F64639">
        <w:t>megyékből, míg</w:t>
      </w:r>
      <w:r w:rsidR="00556512" w:rsidRPr="00F64639">
        <w:t xml:space="preserve"> </w:t>
      </w:r>
      <w:r w:rsidR="00662ECF" w:rsidRPr="00F64639">
        <w:t>a legkevesebb kérelem Nógrád, Baranya és Békés megyékből érkez</w:t>
      </w:r>
      <w:r w:rsidR="00307749" w:rsidRPr="00F64639">
        <w:t>ett</w:t>
      </w:r>
      <w:r w:rsidR="00662ECF" w:rsidRPr="00F64639">
        <w:t xml:space="preserve"> (rendre 0,11%, 0,27%, 0,34%-os aránnyal).</w:t>
      </w:r>
      <w:r w:rsidR="00854876" w:rsidRPr="00F64639">
        <w:t xml:space="preserve"> </w:t>
      </w:r>
    </w:p>
    <w:p w:rsidR="00260168" w:rsidRPr="00F64639" w:rsidRDefault="007F6EA3" w:rsidP="00BA3419">
      <w:pPr>
        <w:pStyle w:val="HUNNormal"/>
        <w:tabs>
          <w:tab w:val="left" w:pos="709"/>
        </w:tabs>
      </w:pPr>
      <w:r w:rsidRPr="00F64639">
        <w:lastRenderedPageBreak/>
        <w:t xml:space="preserve">A </w:t>
      </w:r>
      <w:proofErr w:type="spellStart"/>
      <w:r w:rsidRPr="00F64639">
        <w:t>VKSZI-től</w:t>
      </w:r>
      <w:proofErr w:type="spellEnd"/>
      <w:r w:rsidRPr="00F64639">
        <w:t xml:space="preserve"> kapott </w:t>
      </w:r>
      <w:r w:rsidRPr="00F64639">
        <w:rPr>
          <w:i/>
        </w:rPr>
        <w:t>képzési statisztikák</w:t>
      </w:r>
      <w:r w:rsidRPr="00F64639">
        <w:t xml:space="preserve"> alapján megállapítható, hogy jellemzően</w:t>
      </w:r>
      <w:r w:rsidR="00BE42B1" w:rsidRPr="00F64639">
        <w:t xml:space="preserve"> az ÚMVP jogcímeihez ka</w:t>
      </w:r>
      <w:r w:rsidR="00BE42B1" w:rsidRPr="00F64639">
        <w:t>p</w:t>
      </w:r>
      <w:r w:rsidR="00BE42B1" w:rsidRPr="00F64639">
        <w:t>csolódó képzések</w:t>
      </w:r>
      <w:r w:rsidR="00B9215E" w:rsidRPr="00F64639">
        <w:t>en</w:t>
      </w:r>
      <w:r w:rsidR="00BE42B1" w:rsidRPr="00F64639">
        <w:t xml:space="preserve"> (</w:t>
      </w:r>
      <w:r w:rsidR="00BE42B1" w:rsidRPr="00F64639">
        <w:rPr>
          <w:i/>
        </w:rPr>
        <w:t>kötelező</w:t>
      </w:r>
      <w:r w:rsidR="00BE42B1" w:rsidRPr="00F64639">
        <w:t xml:space="preserve"> </w:t>
      </w:r>
      <w:proofErr w:type="gramStart"/>
      <w:r w:rsidR="00BE42B1" w:rsidRPr="00F64639">
        <w:rPr>
          <w:i/>
        </w:rPr>
        <w:t>képzések</w:t>
      </w:r>
      <w:r w:rsidR="00523378" w:rsidRPr="00F64639">
        <w:rPr>
          <w:rStyle w:val="FootnoteReference"/>
          <w:i/>
        </w:rPr>
        <w:footnoteReference w:id="8"/>
      </w:r>
      <w:r w:rsidR="00BE42B1" w:rsidRPr="00F64639">
        <w:t>)</w:t>
      </w:r>
      <w:proofErr w:type="gramEnd"/>
      <w:r w:rsidR="00BE42B1" w:rsidRPr="00F64639">
        <w:t xml:space="preserve"> </w:t>
      </w:r>
      <w:r w:rsidR="00B9215E" w:rsidRPr="00F64639">
        <w:t xml:space="preserve">vett részt eddig a résztvevők többsége </w:t>
      </w:r>
      <w:r w:rsidR="00BE42B1" w:rsidRPr="00F64639">
        <w:t xml:space="preserve">(a résztvevők </w:t>
      </w:r>
      <w:r w:rsidR="00523378" w:rsidRPr="00F64639">
        <w:t>81</w:t>
      </w:r>
      <w:r w:rsidR="00BE42B1" w:rsidRPr="00F64639">
        <w:t>%-</w:t>
      </w:r>
      <w:r w:rsidR="00260168" w:rsidRPr="00F64639">
        <w:t>a</w:t>
      </w:r>
      <w:r w:rsidR="00BE42B1" w:rsidRPr="00F64639">
        <w:t xml:space="preserve">): ezen belül az </w:t>
      </w:r>
      <w:r w:rsidR="00BE42B1" w:rsidRPr="00F64639">
        <w:rPr>
          <w:i/>
        </w:rPr>
        <w:t>AKG</w:t>
      </w:r>
      <w:r w:rsidR="00BE42B1" w:rsidRPr="00F64639">
        <w:t xml:space="preserve"> (42%) és a </w:t>
      </w:r>
      <w:r w:rsidR="00BE42B1" w:rsidRPr="00F64639">
        <w:rPr>
          <w:i/>
        </w:rPr>
        <w:t>NATURA</w:t>
      </w:r>
      <w:r w:rsidR="00BE42B1" w:rsidRPr="00F64639">
        <w:t xml:space="preserve"> </w:t>
      </w:r>
      <w:r w:rsidR="00BE42B1" w:rsidRPr="00F64639">
        <w:rPr>
          <w:i/>
        </w:rPr>
        <w:t>2000</w:t>
      </w:r>
      <w:r w:rsidR="00BE42B1" w:rsidRPr="00F64639">
        <w:t xml:space="preserve"> (13%) képzések voltak a </w:t>
      </w:r>
      <w:r w:rsidR="00260168" w:rsidRPr="00F64639">
        <w:t>leggyakoribba</w:t>
      </w:r>
      <w:r w:rsidR="00BE42B1" w:rsidRPr="00F64639">
        <w:t xml:space="preserve">k. </w:t>
      </w:r>
      <w:r w:rsidR="00523378" w:rsidRPr="00F64639">
        <w:t>A nem kötelező képzések</w:t>
      </w:r>
      <w:r w:rsidR="007A2597" w:rsidRPr="00F64639">
        <w:rPr>
          <w:rStyle w:val="FootnoteReference"/>
        </w:rPr>
        <w:footnoteReference w:id="9"/>
      </w:r>
      <w:r w:rsidR="00523378" w:rsidRPr="00F64639">
        <w:t xml:space="preserve"> közül </w:t>
      </w:r>
      <w:r w:rsidR="007A2597" w:rsidRPr="00F64639">
        <w:t>a Mezőgazdasági erő- és munkagépkezelő, Fakitermelő és az Aranykalászos gazdaképzések voltak a legnépszerűbbe</w:t>
      </w:r>
      <w:r w:rsidR="005A291B" w:rsidRPr="00F64639">
        <w:t>k</w:t>
      </w:r>
      <w:r w:rsidR="007A2597" w:rsidRPr="00F64639">
        <w:t xml:space="preserve"> (rendre 5-5% és 4%-os létszámaránnyal).</w:t>
      </w:r>
    </w:p>
    <w:p w:rsidR="001A560C" w:rsidRPr="00F64639" w:rsidRDefault="001A560C" w:rsidP="00BA3419">
      <w:pPr>
        <w:pStyle w:val="HUNNormal"/>
        <w:tabs>
          <w:tab w:val="left" w:pos="709"/>
        </w:tabs>
      </w:pPr>
    </w:p>
    <w:p w:rsidR="00E21F24" w:rsidRPr="00F64639" w:rsidRDefault="00E21F24" w:rsidP="00BA3419">
      <w:pPr>
        <w:pStyle w:val="HUNNormal"/>
        <w:tabs>
          <w:tab w:val="left" w:pos="709"/>
        </w:tabs>
        <w:rPr>
          <w:b/>
        </w:rPr>
      </w:pPr>
      <w:r w:rsidRPr="00F64639">
        <w:rPr>
          <w:b/>
        </w:rPr>
        <w:t>Relevanciaelemzés</w:t>
      </w:r>
    </w:p>
    <w:p w:rsidR="00E21F24" w:rsidRPr="00F64639" w:rsidRDefault="00E21F24" w:rsidP="00BA3419">
      <w:pPr>
        <w:pStyle w:val="HUNNormal"/>
        <w:tabs>
          <w:tab w:val="left" w:pos="709"/>
        </w:tabs>
      </w:pPr>
      <w:r w:rsidRPr="00F64639">
        <w:t>A beavatkozás releváns az intézkedés és az ÚMVP céljai tekintetében. A gazdálkodók informáltságának, képzettségének növelése fontos a versenyképesség és a fenntarthatóság fokozása érdekében. Az intézk</w:t>
      </w:r>
      <w:r w:rsidRPr="00F64639">
        <w:t>e</w:t>
      </w:r>
      <w:r w:rsidRPr="00F64639">
        <w:t>dés a képzésben résztvevők számát 265.000 főben, a képzést sikerrel elvégzők számát 55.000 főben rögz</w:t>
      </w:r>
      <w:r w:rsidRPr="00F64639">
        <w:t>í</w:t>
      </w:r>
      <w:r w:rsidRPr="00F64639">
        <w:t xml:space="preserve">tette. A jogcím késői elindulása miatt </w:t>
      </w:r>
      <w:r w:rsidR="008E4E97" w:rsidRPr="00F64639">
        <w:t>az előrehaladás érdemben még nem elemezhető, egyelőre</w:t>
      </w:r>
      <w:r w:rsidRPr="00F64639">
        <w:t xml:space="preserve"> csak </w:t>
      </w:r>
      <w:r w:rsidR="008E4E97" w:rsidRPr="00F64639">
        <w:t>az első fél év</w:t>
      </w:r>
      <w:r w:rsidRPr="00F64639">
        <w:t xml:space="preserve"> szá</w:t>
      </w:r>
      <w:r w:rsidR="008E4E97" w:rsidRPr="00F64639">
        <w:t>mai</w:t>
      </w:r>
      <w:r w:rsidRPr="00F64639">
        <w:t xml:space="preserve"> állnak rendelkezésre</w:t>
      </w:r>
      <w:r w:rsidR="008E4E97" w:rsidRPr="00F64639">
        <w:t xml:space="preserve">. </w:t>
      </w:r>
      <w:r w:rsidRPr="00F64639">
        <w:t>Ha minden</w:t>
      </w:r>
      <w:r w:rsidR="008E4E97" w:rsidRPr="00F64639">
        <w:t xml:space="preserve"> 2010.06.30-ig beérkezett </w:t>
      </w:r>
      <w:proofErr w:type="gramStart"/>
      <w:r w:rsidR="008E4E97" w:rsidRPr="00F64639">
        <w:t>kérelem támogatást</w:t>
      </w:r>
      <w:proofErr w:type="gramEnd"/>
      <w:r w:rsidR="008E4E97" w:rsidRPr="00F64639">
        <w:t xml:space="preserve"> nyer, akkor 5997 résztvevővel lehet egyelőre csak számolni</w:t>
      </w:r>
      <w:r w:rsidR="0049202E">
        <w:rPr>
          <w:rStyle w:val="FootnoteReference"/>
        </w:rPr>
        <w:footnoteReference w:id="10"/>
      </w:r>
      <w:r w:rsidR="008E4E97" w:rsidRPr="00F64639">
        <w:t>. Biztos igényt fog jelenteni a kötelező képzések „ügyfélköre”, de ez nem lesz elég az összes résztvevőre vonatkozó output indikátor teljesítéséhez, mert a potenciális résztvevők száma az indikátor értékének felét sem teszi ki. Egyelőre a nem kötelező képzések iránt kisebb volt az érdeklődés. Amennyiben az év végéig ez a helyzet nem változik, meg kell vizsgálni, hogy milyen intézkedések szükségesek az output indikátor teljesítése érdekében.</w:t>
      </w:r>
    </w:p>
    <w:p w:rsidR="00E21F24" w:rsidRPr="00F64639" w:rsidRDefault="00E21F24" w:rsidP="00BA3419">
      <w:pPr>
        <w:pStyle w:val="HUNNormal"/>
        <w:tabs>
          <w:tab w:val="left" w:pos="709"/>
        </w:tabs>
      </w:pPr>
    </w:p>
    <w:p w:rsidR="0026552B" w:rsidRPr="00F64639" w:rsidRDefault="0026552B" w:rsidP="00BA3419">
      <w:pPr>
        <w:pStyle w:val="HUNNormal"/>
        <w:tabs>
          <w:tab w:val="left" w:pos="709"/>
        </w:tabs>
        <w:rPr>
          <w:b/>
        </w:rPr>
      </w:pPr>
      <w:r w:rsidRPr="00F64639">
        <w:rPr>
          <w:b/>
        </w:rPr>
        <w:t>Hatáselemezés</w:t>
      </w:r>
    </w:p>
    <w:p w:rsidR="0026552B" w:rsidRPr="00F64639" w:rsidRDefault="0026552B" w:rsidP="00BA3419">
      <w:pPr>
        <w:pStyle w:val="HUNNormal"/>
        <w:tabs>
          <w:tab w:val="left" w:pos="709"/>
        </w:tabs>
        <w:rPr>
          <w:b/>
        </w:rPr>
      </w:pPr>
      <w:r w:rsidRPr="00F64639">
        <w:t xml:space="preserve">A jogcímtől </w:t>
      </w:r>
      <w:r w:rsidR="00854876" w:rsidRPr="00F64639">
        <w:t xml:space="preserve">hipotézisünk alapján azt vártuk, hogy </w:t>
      </w:r>
      <w:r w:rsidR="00854876" w:rsidRPr="00F64639">
        <w:rPr>
          <w:b/>
        </w:rPr>
        <w:t>növeli</w:t>
      </w:r>
      <w:r w:rsidRPr="00F64639">
        <w:rPr>
          <w:b/>
        </w:rPr>
        <w:t xml:space="preserve"> </w:t>
      </w:r>
      <w:r w:rsidR="00A44A5E" w:rsidRPr="00F64639">
        <w:rPr>
          <w:b/>
        </w:rPr>
        <w:t xml:space="preserve">az </w:t>
      </w:r>
      <w:r w:rsidRPr="00F64639">
        <w:rPr>
          <w:b/>
        </w:rPr>
        <w:t xml:space="preserve">ÚMVP többi intézkedésének </w:t>
      </w:r>
      <w:r w:rsidR="00854876" w:rsidRPr="00F64639">
        <w:rPr>
          <w:b/>
        </w:rPr>
        <w:t xml:space="preserve">eredményességét, ezen keresztül pedig az ÚMVP </w:t>
      </w:r>
      <w:r w:rsidR="001A560C" w:rsidRPr="00F64639">
        <w:rPr>
          <w:b/>
        </w:rPr>
        <w:t>céljai</w:t>
      </w:r>
      <w:r w:rsidR="00854876" w:rsidRPr="00F64639">
        <w:rPr>
          <w:b/>
        </w:rPr>
        <w:t>t szolgálja.</w:t>
      </w:r>
      <w:r w:rsidR="00854876" w:rsidRPr="00F64639">
        <w:t xml:space="preserve"> </w:t>
      </w:r>
      <w:r w:rsidR="00854876" w:rsidRPr="00F64639">
        <w:rPr>
          <w:b/>
        </w:rPr>
        <w:t>Mindezt pedig a képzett gazdálkodók számának emelésén keresztül éri el.</w:t>
      </w:r>
    </w:p>
    <w:p w:rsidR="0026552B" w:rsidRPr="00F64639" w:rsidRDefault="0026552B" w:rsidP="00BA3419">
      <w:pPr>
        <w:pStyle w:val="HUNNormal"/>
        <w:tabs>
          <w:tab w:val="left" w:pos="709"/>
        </w:tabs>
      </w:pPr>
      <w:r w:rsidRPr="00F64639">
        <w:t xml:space="preserve">A hatások – hasonlóan az intézkedés másik jogcíméhez – közvetetten és </w:t>
      </w:r>
      <w:r w:rsidR="00854876" w:rsidRPr="00F64639">
        <w:t>közép-, hosszútávon jelentkeznek, ezért mérésük még nem lehetséges. A várható hatások csak becsülhetőek, a hatásmechanizmus vizsgálata alapján.</w:t>
      </w:r>
    </w:p>
    <w:p w:rsidR="00854876" w:rsidRPr="00F64639" w:rsidRDefault="00854876" w:rsidP="00BA3419">
      <w:pPr>
        <w:pStyle w:val="HUNNormal"/>
        <w:tabs>
          <w:tab w:val="left" w:pos="709"/>
        </w:tabs>
      </w:pPr>
      <w:r w:rsidRPr="00F64639">
        <w:rPr>
          <w:b/>
        </w:rPr>
        <w:t>A képzések egyértelműen hozzájárultak a képzett gazdálkodók arányának emeléséhez. Ugyanakkor a jogcím lassú beindítása kétségessé teszi, hogy a képzések hozzá tudtak volna járulni a többi intézkedés sikeréhez</w:t>
      </w:r>
      <w:r w:rsidRPr="00F64639">
        <w:t>, hiszen számos támogatott megvalósította már a projektjét mire a képzésre sor került volna.</w:t>
      </w:r>
    </w:p>
    <w:p w:rsidR="00E30745" w:rsidRPr="00F64639" w:rsidRDefault="00E30745" w:rsidP="00BA3419">
      <w:pPr>
        <w:pStyle w:val="HUNNormal"/>
        <w:tabs>
          <w:tab w:val="left" w:pos="709"/>
        </w:tabs>
      </w:pPr>
    </w:p>
    <w:p w:rsidR="00723A8E" w:rsidRPr="00F64639" w:rsidRDefault="00723A8E" w:rsidP="00BA3419">
      <w:pPr>
        <w:pStyle w:val="HUNNormal"/>
        <w:tabs>
          <w:tab w:val="left" w:pos="709"/>
        </w:tabs>
        <w:rPr>
          <w:b/>
        </w:rPr>
      </w:pPr>
      <w:r w:rsidRPr="00F64639">
        <w:rPr>
          <w:b/>
        </w:rPr>
        <w:t>Hatékonyságelemzés</w:t>
      </w:r>
    </w:p>
    <w:p w:rsidR="00EF4954" w:rsidRPr="00F64639" w:rsidRDefault="00EF4954" w:rsidP="00EF4954">
      <w:pPr>
        <w:pStyle w:val="HUNNormal"/>
        <w:tabs>
          <w:tab w:val="left" w:pos="709"/>
        </w:tabs>
      </w:pPr>
      <w:r w:rsidRPr="00F64639">
        <w:t>Az intézményrendszerben lebonyolított mélyinterjúk során felmerült, hogy a képző szervezetek száma jele</w:t>
      </w:r>
      <w:r w:rsidRPr="00F64639">
        <w:t>n</w:t>
      </w:r>
      <w:r w:rsidRPr="00F64639">
        <w:t>leg túl</w:t>
      </w:r>
      <w:r w:rsidR="004F56B8" w:rsidRPr="00F64639">
        <w:t xml:space="preserve"> sok. A 39 szervezet közül 2010</w:t>
      </w:r>
      <w:r w:rsidRPr="00F64639">
        <w:t xml:space="preserve"> októberéig m</w:t>
      </w:r>
      <w:r w:rsidR="00B9215E" w:rsidRPr="00F64639">
        <w:t>indössze 22 tartott szakképzést</w:t>
      </w:r>
      <w:r w:rsidRPr="00F64639">
        <w:t>.</w:t>
      </w:r>
    </w:p>
    <w:p w:rsidR="00854876" w:rsidRPr="00F64639" w:rsidRDefault="00854876" w:rsidP="00854876">
      <w:pPr>
        <w:pStyle w:val="HUNNormal"/>
        <w:tabs>
          <w:tab w:val="left" w:pos="709"/>
        </w:tabs>
      </w:pPr>
      <w:r w:rsidRPr="00F64639">
        <w:lastRenderedPageBreak/>
        <w:t xml:space="preserve">Problémaként jelezték a megkérdezettek az értékelés során, hogy </w:t>
      </w:r>
      <w:r w:rsidR="00B9215E" w:rsidRPr="00F64639">
        <w:rPr>
          <w:b/>
        </w:rPr>
        <w:t>egyes</w:t>
      </w:r>
      <w:r w:rsidRPr="00F64639">
        <w:rPr>
          <w:b/>
        </w:rPr>
        <w:t xml:space="preserve"> jelenlegi képzési anyagok elavultak, aktualizálásuk lassan, nehézkesen halad</w:t>
      </w:r>
      <w:r w:rsidRPr="00F64639">
        <w:t xml:space="preserve"> (pl.: szerzői jogi kötöttségek miatt). Több szakértő véleménye sz</w:t>
      </w:r>
      <w:r w:rsidRPr="00F64639">
        <w:t>e</w:t>
      </w:r>
      <w:r w:rsidRPr="00F64639">
        <w:t>rint az anya</w:t>
      </w:r>
      <w:r w:rsidR="00B9215E" w:rsidRPr="00F64639">
        <w:t>gok nyelvezetét, szakmai tartalmát is érdemes lenne felülvizsgálni, aktualizálni</w:t>
      </w:r>
      <w:r w:rsidRPr="00F64639">
        <w:t>.</w:t>
      </w:r>
    </w:p>
    <w:p w:rsidR="009D06A4" w:rsidRPr="00F64639" w:rsidRDefault="0026552B" w:rsidP="00BA3419">
      <w:pPr>
        <w:pStyle w:val="HUNNormal"/>
        <w:tabs>
          <w:tab w:val="left" w:pos="709"/>
        </w:tabs>
      </w:pPr>
      <w:r w:rsidRPr="00F64639">
        <w:t>Megállapítható,</w:t>
      </w:r>
      <w:r w:rsidR="009D06A4" w:rsidRPr="00F64639">
        <w:t xml:space="preserve"> hogy </w:t>
      </w:r>
      <w:r w:rsidR="009D06A4" w:rsidRPr="00F64639">
        <w:rPr>
          <w:b/>
        </w:rPr>
        <w:t>a kötelező képzések közül egy sem tartalmazott éghajlatváltozással, fenntarthatósá</w:t>
      </w:r>
      <w:r w:rsidR="009D06A4" w:rsidRPr="00F64639">
        <w:rPr>
          <w:b/>
        </w:rPr>
        <w:t>g</w:t>
      </w:r>
      <w:r w:rsidR="009D06A4" w:rsidRPr="00F64639">
        <w:rPr>
          <w:b/>
        </w:rPr>
        <w:t>gal kapcsolatos ismereteket</w:t>
      </w:r>
      <w:r w:rsidR="009D06A4" w:rsidRPr="00F64639">
        <w:t xml:space="preserve"> – még az AKG képzések tematikája is csak közvetett módon tárgyalta a klím</w:t>
      </w:r>
      <w:r w:rsidR="009D06A4" w:rsidRPr="00F64639">
        <w:t>a</w:t>
      </w:r>
      <w:r w:rsidR="009D06A4" w:rsidRPr="00F64639">
        <w:t>változás hatásaihoz való alkalmazkodás elősegítésével kapcsolatos információkat</w:t>
      </w:r>
      <w:r w:rsidR="00260168" w:rsidRPr="00F64639">
        <w:t>, noha a fenntarthatóság javítása az intézkedés egyik célja.</w:t>
      </w:r>
    </w:p>
    <w:p w:rsidR="00BE42B1" w:rsidRPr="00F64639" w:rsidRDefault="00B3296E" w:rsidP="00BA3419">
      <w:pPr>
        <w:pStyle w:val="HUNNormal"/>
        <w:tabs>
          <w:tab w:val="left" w:pos="709"/>
        </w:tabs>
      </w:pPr>
      <w:r w:rsidRPr="00F64639">
        <w:t>A VKSZI mind a Képző Szervezetek, mind a képzések tekintetében programozott helyszíni ellenőrzéseket (auditokat) végez a minőség biztosítása érdekében. A 2010.02.15. és 2010.09.30. között végrehajtott e</w:t>
      </w:r>
      <w:r w:rsidRPr="00F64639">
        <w:t>l</w:t>
      </w:r>
      <w:r w:rsidRPr="00F64639">
        <w:t xml:space="preserve">lenőrzések során az Intézet munkatársai megállapították, hogy </w:t>
      </w:r>
      <w:r w:rsidRPr="00F64639">
        <w:rPr>
          <w:b/>
        </w:rPr>
        <w:t xml:space="preserve">a </w:t>
      </w:r>
      <w:r w:rsidR="001A560C" w:rsidRPr="00F64639">
        <w:rPr>
          <w:b/>
        </w:rPr>
        <w:t>résztvevők</w:t>
      </w:r>
      <w:r w:rsidRPr="00F64639">
        <w:rPr>
          <w:b/>
        </w:rPr>
        <w:t xml:space="preserve"> döntő többsége „</w:t>
      </w:r>
      <w:r w:rsidRPr="00F64639">
        <w:rPr>
          <w:b/>
          <w:i/>
        </w:rPr>
        <w:t>kiváló</w:t>
      </w:r>
      <w:r w:rsidRPr="00F64639">
        <w:rPr>
          <w:b/>
        </w:rPr>
        <w:t>” kateg</w:t>
      </w:r>
      <w:r w:rsidRPr="00F64639">
        <w:rPr>
          <w:b/>
        </w:rPr>
        <w:t>ó</w:t>
      </w:r>
      <w:r w:rsidRPr="00F64639">
        <w:rPr>
          <w:b/>
        </w:rPr>
        <w:t>riájú (62%), míg a többiek „</w:t>
      </w:r>
      <w:r w:rsidRPr="00F64639">
        <w:rPr>
          <w:b/>
          <w:i/>
        </w:rPr>
        <w:t>jó</w:t>
      </w:r>
      <w:r w:rsidRPr="00F64639">
        <w:rPr>
          <w:b/>
        </w:rPr>
        <w:t xml:space="preserve">” minősítést </w:t>
      </w:r>
      <w:proofErr w:type="gramStart"/>
      <w:r w:rsidRPr="00F64639">
        <w:rPr>
          <w:b/>
        </w:rPr>
        <w:t>szereztek</w:t>
      </w:r>
      <w:r w:rsidRPr="00F64639">
        <w:rPr>
          <w:rStyle w:val="FootnoteReference"/>
          <w:b/>
        </w:rPr>
        <w:footnoteReference w:id="11"/>
      </w:r>
      <w:r w:rsidRPr="00F64639">
        <w:rPr>
          <w:b/>
        </w:rPr>
        <w:t>.</w:t>
      </w:r>
      <w:proofErr w:type="gramEnd"/>
      <w:r w:rsidR="00102A70" w:rsidRPr="00F64639">
        <w:rPr>
          <w:b/>
        </w:rPr>
        <w:t xml:space="preserve"> </w:t>
      </w:r>
    </w:p>
    <w:p w:rsidR="004F56B8" w:rsidRDefault="00D47697" w:rsidP="00BA3419">
      <w:pPr>
        <w:pStyle w:val="HUNNormal"/>
        <w:tabs>
          <w:tab w:val="left" w:pos="709"/>
        </w:tabs>
      </w:pPr>
      <w:r w:rsidRPr="00F64639">
        <w:t xml:space="preserve">A jogcím vizsgálata során mind a Minisztérium, mind az MVH szakértőivel folytatott interjúk </w:t>
      </w:r>
      <w:r w:rsidR="00043207" w:rsidRPr="00F64639">
        <w:t xml:space="preserve">egyik visszatérő </w:t>
      </w:r>
      <w:r w:rsidR="00043207" w:rsidRPr="00F64639">
        <w:rPr>
          <w:i/>
        </w:rPr>
        <w:t>problémája</w:t>
      </w:r>
      <w:r w:rsidR="00043207" w:rsidRPr="00F64639">
        <w:t xml:space="preserve"> a </w:t>
      </w:r>
      <w:r w:rsidR="00043207" w:rsidRPr="00F64639">
        <w:rPr>
          <w:i/>
        </w:rPr>
        <w:t>támogatási kérelmek benyújtásának jelenlegi eljárásrendje</w:t>
      </w:r>
      <w:r w:rsidR="00043207" w:rsidRPr="00F64639">
        <w:t xml:space="preserve"> volt. A Támogatási kérelmeket a végső kedvezményezettek nem a Képző Szervezeten </w:t>
      </w:r>
      <w:r w:rsidR="00FE096E" w:rsidRPr="00F64639">
        <w:t xml:space="preserve">(KSZ) </w:t>
      </w:r>
      <w:proofErr w:type="gramStart"/>
      <w:r w:rsidR="00043207" w:rsidRPr="00F64639">
        <w:t>keresztül nyújtják</w:t>
      </w:r>
      <w:proofErr w:type="gramEnd"/>
      <w:r w:rsidR="00043207" w:rsidRPr="00F64639">
        <w:t xml:space="preserve"> be</w:t>
      </w:r>
      <w:r w:rsidR="00FE096E" w:rsidRPr="00F64639">
        <w:t xml:space="preserve"> (bár meghatalmazást a</w:t>
      </w:r>
      <w:r w:rsidR="00FE096E" w:rsidRPr="00F64639">
        <w:t>d</w:t>
      </w:r>
      <w:r w:rsidR="00FE096E" w:rsidRPr="00F64639">
        <w:t xml:space="preserve">hatnak a </w:t>
      </w:r>
      <w:proofErr w:type="spellStart"/>
      <w:r w:rsidR="00FE096E" w:rsidRPr="00F64639">
        <w:t>KSZ-nek</w:t>
      </w:r>
      <w:proofErr w:type="spellEnd"/>
      <w:r w:rsidR="00FE096E" w:rsidRPr="00F64639">
        <w:t>)</w:t>
      </w:r>
      <w:r w:rsidR="00043207" w:rsidRPr="00F64639">
        <w:t xml:space="preserve">, hanem közvetlenül az </w:t>
      </w:r>
      <w:proofErr w:type="spellStart"/>
      <w:r w:rsidR="00043207" w:rsidRPr="00F64639">
        <w:t>MVH-nak</w:t>
      </w:r>
      <w:proofErr w:type="spellEnd"/>
      <w:r w:rsidR="00043207" w:rsidRPr="00F64639">
        <w:t xml:space="preserve">, ami számos hibalehetőségre, félreértésre (ezzel együtt felesleges erőforrás-lekötésre és az átfutási idő növekedésére) adhat okot. </w:t>
      </w:r>
      <w:r w:rsidR="001A560C" w:rsidRPr="00F64639">
        <w:t xml:space="preserve">A megkérdezettek </w:t>
      </w:r>
      <w:r w:rsidR="005C60E3" w:rsidRPr="00F64639">
        <w:t>szerint az elj</w:t>
      </w:r>
      <w:r w:rsidR="005C60E3" w:rsidRPr="00F64639">
        <w:t>á</w:t>
      </w:r>
      <w:r w:rsidR="005C60E3" w:rsidRPr="00F64639">
        <w:t xml:space="preserve">rásrend bonyolultsága jelentősen megnehezíti a </w:t>
      </w:r>
      <w:r w:rsidR="004F56B8" w:rsidRPr="00F64639">
        <w:t>végső kedvezményezettek dolgát.</w:t>
      </w: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Default="00E60698" w:rsidP="00BA3419">
      <w:pPr>
        <w:pStyle w:val="HUNNormal"/>
        <w:tabs>
          <w:tab w:val="left" w:pos="709"/>
        </w:tabs>
      </w:pPr>
    </w:p>
    <w:p w:rsidR="00E60698" w:rsidRPr="00F64639" w:rsidRDefault="00E60698" w:rsidP="00BA3419">
      <w:pPr>
        <w:pStyle w:val="HUNNormal"/>
        <w:tabs>
          <w:tab w:val="left" w:pos="709"/>
        </w:tabs>
      </w:pPr>
    </w:p>
    <w:p w:rsidR="00BA3419" w:rsidRPr="00F64639" w:rsidRDefault="00F253F7" w:rsidP="00E60698">
      <w:pPr>
        <w:pStyle w:val="HUNHeading3"/>
        <w:ind w:left="851" w:hanging="851"/>
      </w:pPr>
      <w:bookmarkStart w:id="5" w:name="_Toc280786848"/>
      <w:r w:rsidRPr="00F64639">
        <w:lastRenderedPageBreak/>
        <w:t>Fiatal mezőgazdasági termelők számára nyújtandó támogatás</w:t>
      </w:r>
      <w:r w:rsidR="00BA3419" w:rsidRPr="00F64639">
        <w:t xml:space="preserve"> (112. i</w:t>
      </w:r>
      <w:r w:rsidR="00BA3419" w:rsidRPr="00F64639">
        <w:t>n</w:t>
      </w:r>
      <w:r w:rsidR="00BA3419" w:rsidRPr="00F64639">
        <w:t>tézkedés)</w:t>
      </w:r>
      <w:bookmarkEnd w:id="5"/>
    </w:p>
    <w:p w:rsidR="00390072" w:rsidRPr="00F64639" w:rsidRDefault="00DC1AEA" w:rsidP="00BA3419">
      <w:pPr>
        <w:pStyle w:val="HUNNormal"/>
        <w:tabs>
          <w:tab w:val="left" w:pos="709"/>
        </w:tabs>
      </w:pPr>
      <w:r w:rsidRPr="00F64639">
        <w:t xml:space="preserve">A </w:t>
      </w:r>
      <w:r w:rsidR="00F253F7" w:rsidRPr="00F64639">
        <w:t>Fiatal mezőgazdasági termelők számára nyújtandó támogatás</w:t>
      </w:r>
      <w:r w:rsidRPr="00F64639">
        <w:t xml:space="preserve"> </w:t>
      </w:r>
      <w:r w:rsidR="001B29DF" w:rsidRPr="00F64639">
        <w:t xml:space="preserve">című </w:t>
      </w:r>
      <w:r w:rsidRPr="00F64639">
        <w:t>intézkedés (112) célja a fiatal mez</w:t>
      </w:r>
      <w:r w:rsidRPr="00F64639">
        <w:t>ő</w:t>
      </w:r>
      <w:r w:rsidRPr="00F64639">
        <w:t xml:space="preserve">gazdasági termelők </w:t>
      </w:r>
      <w:r w:rsidRPr="00F64639">
        <w:rPr>
          <w:b/>
        </w:rPr>
        <w:t>gazdaságalapításának</w:t>
      </w:r>
      <w:r w:rsidRPr="00F64639">
        <w:t xml:space="preserve">, valamint a </w:t>
      </w:r>
      <w:r w:rsidRPr="00F64639">
        <w:rPr>
          <w:b/>
        </w:rPr>
        <w:t>birtokstruktúra</w:t>
      </w:r>
      <w:r w:rsidRPr="00F64639">
        <w:t xml:space="preserve"> </w:t>
      </w:r>
      <w:r w:rsidRPr="00F64639">
        <w:rPr>
          <w:b/>
        </w:rPr>
        <w:t>átalakításának</w:t>
      </w:r>
      <w:r w:rsidRPr="00F64639">
        <w:t xml:space="preserve"> előmozdítása, a mez</w:t>
      </w:r>
      <w:r w:rsidRPr="00F64639">
        <w:t>ő</w:t>
      </w:r>
      <w:r w:rsidRPr="00F64639">
        <w:t xml:space="preserve">gazdasági munkaerő </w:t>
      </w:r>
      <w:r w:rsidRPr="00F64639">
        <w:rPr>
          <w:b/>
        </w:rPr>
        <w:t>korstruktúrájának</w:t>
      </w:r>
      <w:r w:rsidRPr="00F64639">
        <w:t xml:space="preserve"> </w:t>
      </w:r>
      <w:r w:rsidRPr="00F64639">
        <w:rPr>
          <w:b/>
        </w:rPr>
        <w:t>javítása</w:t>
      </w:r>
      <w:r w:rsidRPr="00F64639">
        <w:t xml:space="preserve">, a vidék </w:t>
      </w:r>
      <w:r w:rsidRPr="00F64639">
        <w:rPr>
          <w:b/>
        </w:rPr>
        <w:t>népességmegtartó</w:t>
      </w:r>
      <w:r w:rsidRPr="00F64639">
        <w:t xml:space="preserve"> képességének </w:t>
      </w:r>
      <w:r w:rsidRPr="00F64639">
        <w:rPr>
          <w:b/>
        </w:rPr>
        <w:t>növelése</w:t>
      </w:r>
      <w:r w:rsidRPr="00F64639">
        <w:t xml:space="preserve"> és a mezőgazdasági </w:t>
      </w:r>
      <w:r w:rsidRPr="00F64639">
        <w:rPr>
          <w:b/>
        </w:rPr>
        <w:t>tevékenység</w:t>
      </w:r>
      <w:r w:rsidRPr="00F64639">
        <w:t xml:space="preserve"> hosszú távú </w:t>
      </w:r>
      <w:r w:rsidRPr="00F64639">
        <w:rPr>
          <w:b/>
        </w:rPr>
        <w:t>fenntartása</w:t>
      </w:r>
      <w:r w:rsidRPr="00F64639">
        <w:t>.</w:t>
      </w:r>
    </w:p>
    <w:p w:rsidR="00DC1AEA" w:rsidRPr="00F64639" w:rsidRDefault="00DC1AEA" w:rsidP="00DC1AEA">
      <w:pPr>
        <w:jc w:val="both"/>
        <w:rPr>
          <w:iCs/>
          <w:szCs w:val="22"/>
        </w:rPr>
      </w:pPr>
      <w:r w:rsidRPr="00F64639">
        <w:rPr>
          <w:iCs/>
          <w:szCs w:val="22"/>
        </w:rPr>
        <w:t xml:space="preserve">A következő táblázat szemlélteti az intézkedés főbb </w:t>
      </w:r>
      <w:proofErr w:type="gramStart"/>
      <w:r w:rsidRPr="00F64639">
        <w:rPr>
          <w:iCs/>
          <w:szCs w:val="22"/>
        </w:rPr>
        <w:t>adatait</w:t>
      </w:r>
      <w:r w:rsidRPr="00F64639">
        <w:rPr>
          <w:rStyle w:val="FootnoteReference"/>
          <w:iCs/>
          <w:szCs w:val="22"/>
        </w:rPr>
        <w:footnoteReference w:id="12"/>
      </w:r>
      <w:r w:rsidRPr="00F64639">
        <w:rPr>
          <w:iCs/>
          <w:szCs w:val="22"/>
        </w:rPr>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DC1AEA"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DC1AEA" w:rsidRPr="00F64639" w:rsidRDefault="00DC1AEA" w:rsidP="000B0E4C">
            <w:pPr>
              <w:jc w:val="center"/>
              <w:rPr>
                <w:b/>
                <w:bCs/>
                <w:iCs/>
                <w:color w:val="FFFFFF"/>
                <w:szCs w:val="22"/>
              </w:rPr>
            </w:pPr>
            <w:r w:rsidRPr="00F64639">
              <w:rPr>
                <w:b/>
                <w:bCs/>
                <w:iCs/>
                <w:color w:val="FFFFFF"/>
                <w:szCs w:val="22"/>
              </w:rPr>
              <w:t>Fiatal gazdálkodók</w:t>
            </w:r>
          </w:p>
        </w:tc>
      </w:tr>
      <w:tr w:rsidR="00DC1AE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Indikatív keret</w:t>
            </w:r>
            <w:r w:rsidRPr="00F64639">
              <w:rPr>
                <w:rStyle w:val="FootnoteReference"/>
                <w:b/>
                <w:bCs/>
                <w:iCs/>
                <w:color w:val="FFFFFF"/>
                <w:szCs w:val="22"/>
              </w:rPr>
              <w:footnoteReference w:id="13"/>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DC1AEA" w:rsidRPr="00F64639" w:rsidRDefault="00DC1AEA" w:rsidP="000B0E4C">
            <w:pPr>
              <w:jc w:val="center"/>
              <w:rPr>
                <w:rFonts w:cs="Arial"/>
                <w:sz w:val="18"/>
                <w:szCs w:val="18"/>
              </w:rPr>
            </w:pPr>
            <w:r w:rsidRPr="00F64639">
              <w:rPr>
                <w:iCs/>
                <w:szCs w:val="22"/>
              </w:rPr>
              <w:t xml:space="preserve">96 187 834 </w:t>
            </w:r>
            <w:r w:rsidR="0022006B" w:rsidRPr="00F64639">
              <w:rPr>
                <w:iCs/>
                <w:szCs w:val="22"/>
              </w:rPr>
              <w:t>EUR</w:t>
            </w:r>
          </w:p>
        </w:tc>
      </w:tr>
      <w:tr w:rsidR="00DC1AEA" w:rsidRPr="00F64639" w:rsidTr="000B0E4C">
        <w:tc>
          <w:tcPr>
            <w:tcW w:w="2778" w:type="pct"/>
            <w:tcBorders>
              <w:left w:val="single" w:sz="8" w:space="0" w:color="FFFFFF"/>
              <w:bottom w:val="nil"/>
              <w:right w:val="single" w:sz="24"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DC1AEA" w:rsidRPr="00F64639" w:rsidRDefault="00DC1AEA" w:rsidP="000B0E4C">
            <w:pPr>
              <w:jc w:val="center"/>
              <w:rPr>
                <w:iCs/>
                <w:szCs w:val="22"/>
              </w:rPr>
            </w:pPr>
            <w:r w:rsidRPr="00F64639">
              <w:rPr>
                <w:iCs/>
                <w:szCs w:val="22"/>
              </w:rPr>
              <w:t>2 373 db</w:t>
            </w:r>
          </w:p>
        </w:tc>
      </w:tr>
      <w:tr w:rsidR="00DC1AE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DC1AEA" w:rsidRPr="00F64639" w:rsidRDefault="00DC1AEA" w:rsidP="000B0E4C">
            <w:pPr>
              <w:jc w:val="center"/>
              <w:rPr>
                <w:iCs/>
                <w:szCs w:val="22"/>
              </w:rPr>
            </w:pPr>
            <w:r w:rsidRPr="00F64639">
              <w:rPr>
                <w:iCs/>
                <w:szCs w:val="22"/>
              </w:rPr>
              <w:t>2 373 db</w:t>
            </w:r>
          </w:p>
        </w:tc>
      </w:tr>
      <w:tr w:rsidR="00DC1AEA" w:rsidRPr="00F64639" w:rsidTr="000B0E4C">
        <w:tc>
          <w:tcPr>
            <w:tcW w:w="2778" w:type="pct"/>
            <w:tcBorders>
              <w:left w:val="single" w:sz="8" w:space="0" w:color="FFFFFF"/>
              <w:bottom w:val="nil"/>
              <w:right w:val="single" w:sz="24"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DC1AEA" w:rsidRPr="00F64639" w:rsidRDefault="00DC1AEA" w:rsidP="000B0E4C">
            <w:pPr>
              <w:jc w:val="center"/>
              <w:rPr>
                <w:iCs/>
                <w:szCs w:val="22"/>
              </w:rPr>
            </w:pPr>
            <w:r w:rsidRPr="00F64639">
              <w:rPr>
                <w:iCs/>
                <w:szCs w:val="22"/>
              </w:rPr>
              <w:t>1 462 db</w:t>
            </w:r>
          </w:p>
        </w:tc>
      </w:tr>
      <w:tr w:rsidR="00DC1AE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DC1AEA" w:rsidRPr="00F64639" w:rsidRDefault="00DC1AEA" w:rsidP="000B0E4C">
            <w:pPr>
              <w:jc w:val="center"/>
              <w:rPr>
                <w:iCs/>
                <w:szCs w:val="22"/>
              </w:rPr>
            </w:pPr>
            <w:r w:rsidRPr="00F64639">
              <w:rPr>
                <w:iCs/>
                <w:szCs w:val="22"/>
              </w:rPr>
              <w:t>24 455 969 000 Ft</w:t>
            </w:r>
            <w:r w:rsidRPr="00F64639">
              <w:rPr>
                <w:rStyle w:val="FootnoteReference"/>
                <w:iCs/>
                <w:szCs w:val="22"/>
              </w:rPr>
              <w:footnoteReference w:id="14"/>
            </w:r>
          </w:p>
        </w:tc>
      </w:tr>
      <w:tr w:rsidR="00DC1AEA" w:rsidRPr="00F64639" w:rsidTr="000B0E4C">
        <w:tc>
          <w:tcPr>
            <w:tcW w:w="2778" w:type="pct"/>
            <w:tcBorders>
              <w:left w:val="single" w:sz="8" w:space="0" w:color="FFFFFF"/>
              <w:right w:val="single" w:sz="24" w:space="0" w:color="FFFFFF"/>
            </w:tcBorders>
            <w:shd w:val="clear" w:color="auto" w:fill="C0504D"/>
          </w:tcPr>
          <w:p w:rsidR="00DC1AEA" w:rsidRPr="00F64639" w:rsidRDefault="00DC1AEA"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DC1AEA" w:rsidRPr="00F64639" w:rsidRDefault="00DC1AEA" w:rsidP="001A560C">
            <w:pPr>
              <w:jc w:val="center"/>
              <w:rPr>
                <w:iCs/>
                <w:szCs w:val="22"/>
              </w:rPr>
            </w:pPr>
            <w:r w:rsidRPr="00F64639">
              <w:rPr>
                <w:iCs/>
                <w:szCs w:val="22"/>
              </w:rPr>
              <w:t xml:space="preserve">50 289 962 </w:t>
            </w:r>
            <w:r w:rsidR="001A560C" w:rsidRPr="00F64639">
              <w:rPr>
                <w:iCs/>
                <w:szCs w:val="22"/>
              </w:rPr>
              <w:t>EUR</w:t>
            </w:r>
            <w:r w:rsidRPr="00F64639">
              <w:rPr>
                <w:iCs/>
                <w:szCs w:val="22"/>
              </w:rPr>
              <w:t xml:space="preserve"> </w:t>
            </w:r>
            <w:r w:rsidRPr="00F64639">
              <w:rPr>
                <w:rStyle w:val="FootnoteReference"/>
                <w:iCs/>
                <w:szCs w:val="22"/>
              </w:rPr>
              <w:footnoteReference w:id="15"/>
            </w:r>
            <w:r w:rsidR="001A560C" w:rsidRPr="00F64639">
              <w:rPr>
                <w:iCs/>
                <w:szCs w:val="22"/>
              </w:rPr>
              <w:t xml:space="preserve"> (</w:t>
            </w:r>
            <w:r w:rsidR="001A560C" w:rsidRPr="00F64639">
              <w:rPr>
                <w:sz w:val="18"/>
              </w:rPr>
              <w:t xml:space="preserve">13 839 811 960 </w:t>
            </w:r>
            <w:r w:rsidR="0022006B" w:rsidRPr="00F64639">
              <w:rPr>
                <w:sz w:val="18"/>
              </w:rPr>
              <w:t>Ft</w:t>
            </w:r>
            <w:r w:rsidR="001A560C" w:rsidRPr="00F64639">
              <w:rPr>
                <w:sz w:val="18"/>
              </w:rPr>
              <w:t>)</w:t>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2</w:t>
      </w:r>
      <w:r w:rsidRPr="00F64639">
        <w:rPr>
          <w:color w:val="auto"/>
        </w:rPr>
        <w:fldChar w:fldCharType="end"/>
      </w:r>
      <w:r w:rsidR="00AB435B" w:rsidRPr="00F64639">
        <w:rPr>
          <w:color w:val="auto"/>
        </w:rPr>
        <w:t xml:space="preserve">. </w:t>
      </w:r>
      <w:proofErr w:type="gramStart"/>
      <w:r w:rsidR="00AB435B" w:rsidRPr="00F64639">
        <w:rPr>
          <w:color w:val="auto"/>
        </w:rPr>
        <w:t>táblázat</w:t>
      </w:r>
      <w:proofErr w:type="gramEnd"/>
      <w:r w:rsidR="00AB435B" w:rsidRPr="00F64639">
        <w:rPr>
          <w:color w:val="auto"/>
        </w:rPr>
        <w:t>: A jogcím általános jellemzői</w:t>
      </w:r>
    </w:p>
    <w:p w:rsidR="00DC1AEA" w:rsidRPr="00F64639" w:rsidRDefault="006A7966" w:rsidP="00BA3419">
      <w:pPr>
        <w:pStyle w:val="HUNNormal"/>
        <w:tabs>
          <w:tab w:val="left" w:pos="709"/>
        </w:tabs>
      </w:pPr>
      <w:r w:rsidRPr="00F64639">
        <w:t xml:space="preserve">A konstrukciót </w:t>
      </w:r>
      <w:r w:rsidR="00FE096E" w:rsidRPr="00F64639">
        <w:t xml:space="preserve">a 67/2007. (VII. 26.) FVM rendelet és </w:t>
      </w:r>
      <w:r w:rsidRPr="00F64639">
        <w:t>113/2009 (VIII. 29) FVM rendelet hirdette meg jöved</w:t>
      </w:r>
      <w:r w:rsidRPr="00F64639">
        <w:t>e</w:t>
      </w:r>
      <w:r w:rsidRPr="00F64639">
        <w:t>lempótló támogatásként. A támogatás összege a négy éven belül elérni kívánt üzem méretre vonatkozó vá</w:t>
      </w:r>
      <w:r w:rsidRPr="00F64639">
        <w:t>l</w:t>
      </w:r>
      <w:r w:rsidRPr="00F64639">
        <w:t>lalástól függő összeg volt</w:t>
      </w:r>
      <w:r w:rsidR="002B1A50" w:rsidRPr="00F64639">
        <w:t>:</w:t>
      </w:r>
      <w:r w:rsidRPr="00F64639">
        <w:t xml:space="preserve"> 20.000 EUR-tól (4-7 EUME) 40.000 EUR-ig (10 EUME feletti érték). </w:t>
      </w:r>
      <w:r w:rsidRPr="00F64639">
        <w:rPr>
          <w:b/>
        </w:rPr>
        <w:t xml:space="preserve">A támogatást a </w:t>
      </w:r>
      <w:r w:rsidR="0051135A">
        <w:rPr>
          <w:b/>
        </w:rPr>
        <w:t xml:space="preserve">végrehajtási </w:t>
      </w:r>
      <w:proofErr w:type="gramStart"/>
      <w:r w:rsidR="0051135A">
        <w:rPr>
          <w:b/>
        </w:rPr>
        <w:t>rendeletben ,illetve</w:t>
      </w:r>
      <w:proofErr w:type="gramEnd"/>
      <w:r w:rsidR="0051135A">
        <w:rPr>
          <w:b/>
        </w:rPr>
        <w:t xml:space="preserve"> a </w:t>
      </w:r>
      <w:r w:rsidRPr="00F64639">
        <w:rPr>
          <w:b/>
        </w:rPr>
        <w:t>jogcímrendeletben előírt agrár-végzettségű, 40 évnél fiatalabb magá</w:t>
      </w:r>
      <w:r w:rsidRPr="00F64639">
        <w:rPr>
          <w:b/>
        </w:rPr>
        <w:t>n</w:t>
      </w:r>
      <w:r w:rsidRPr="00F64639">
        <w:rPr>
          <w:b/>
        </w:rPr>
        <w:t xml:space="preserve">személyek vehették igénybe, </w:t>
      </w:r>
      <w:r w:rsidR="001B29DF" w:rsidRPr="00F64639">
        <w:rPr>
          <w:b/>
        </w:rPr>
        <w:t>amennyiben a támogatással</w:t>
      </w:r>
      <w:r w:rsidRPr="00F64639">
        <w:rPr>
          <w:b/>
        </w:rPr>
        <w:t xml:space="preserve"> először </w:t>
      </w:r>
      <w:r w:rsidR="001B29DF" w:rsidRPr="00F64639">
        <w:rPr>
          <w:b/>
        </w:rPr>
        <w:t>vált</w:t>
      </w:r>
      <w:r w:rsidRPr="00F64639">
        <w:rPr>
          <w:b/>
        </w:rPr>
        <w:t xml:space="preserve">ak mezőgazdasági </w:t>
      </w:r>
      <w:r w:rsidR="001B29DF" w:rsidRPr="00F64639">
        <w:rPr>
          <w:b/>
        </w:rPr>
        <w:t>üzem vezetőjévé, illetve alapította</w:t>
      </w:r>
      <w:r w:rsidRPr="00F64639">
        <w:rPr>
          <w:b/>
        </w:rPr>
        <w:t>k, vagy ve</w:t>
      </w:r>
      <w:r w:rsidR="001B29DF" w:rsidRPr="00F64639">
        <w:rPr>
          <w:b/>
        </w:rPr>
        <w:t>tt</w:t>
      </w:r>
      <w:r w:rsidRPr="00F64639">
        <w:rPr>
          <w:b/>
        </w:rPr>
        <w:t>ek át gazdaságot.</w:t>
      </w:r>
    </w:p>
    <w:p w:rsidR="006A7966" w:rsidRPr="00F64639" w:rsidRDefault="006A7966" w:rsidP="00BA3419">
      <w:pPr>
        <w:pStyle w:val="HUNNormal"/>
        <w:tabs>
          <w:tab w:val="left" w:pos="709"/>
        </w:tabs>
      </w:pPr>
      <w:r w:rsidRPr="00F64639">
        <w:t>A nyertesek kiválasztása a jogosultság és az „üzleti tervek” értékelése alapján történt.</w:t>
      </w:r>
    </w:p>
    <w:p w:rsidR="00DC1AEA" w:rsidRPr="00F64639" w:rsidRDefault="00FA7CAF" w:rsidP="00DC1AEA">
      <w:pPr>
        <w:pStyle w:val="HUNNormal"/>
        <w:tabs>
          <w:tab w:val="left" w:pos="709"/>
        </w:tabs>
      </w:pPr>
      <w:r w:rsidRPr="00F64639">
        <w:t xml:space="preserve">Már </w:t>
      </w:r>
      <w:r w:rsidR="00DC1AEA" w:rsidRPr="00F64639">
        <w:t xml:space="preserve">az első </w:t>
      </w:r>
      <w:r w:rsidRPr="00F64639">
        <w:t>benyújtás</w:t>
      </w:r>
      <w:r w:rsidR="00DC1AEA" w:rsidRPr="00F64639">
        <w:t xml:space="preserve">i </w:t>
      </w:r>
      <w:r w:rsidRPr="00F64639">
        <w:t>időszakban</w:t>
      </w:r>
      <w:r w:rsidR="003E315A" w:rsidRPr="00F64639">
        <w:t xml:space="preserve"> </w:t>
      </w:r>
      <w:r w:rsidR="00F253F7" w:rsidRPr="00F64639">
        <w:t xml:space="preserve">(2007. december 3 – 2008. február 7.) </w:t>
      </w:r>
      <w:r w:rsidR="00DC1AEA" w:rsidRPr="00F64639">
        <w:t xml:space="preserve">is </w:t>
      </w:r>
      <w:r w:rsidRPr="00F64639">
        <w:t>az allokált keret</w:t>
      </w:r>
      <w:r w:rsidR="00223100" w:rsidRPr="00F64639">
        <w:t>et</w:t>
      </w:r>
      <w:r w:rsidRPr="00F64639">
        <w:t xml:space="preserve"> meghaladó érdeklődés volt tapasztalható a jogcím iránt és csak a kérelmek </w:t>
      </w:r>
      <w:r w:rsidR="003D5A91" w:rsidRPr="00F64639">
        <w:t>58</w:t>
      </w:r>
      <w:r w:rsidRPr="00F64639">
        <w:t>%-a kapott támogatást.</w:t>
      </w:r>
      <w:r w:rsidR="00DC1AEA" w:rsidRPr="00F64639">
        <w:t xml:space="preserve"> Ettől függetlenül a</w:t>
      </w:r>
      <w:r w:rsidR="003E315A" w:rsidRPr="00F64639">
        <w:t>z Irányító Hatóság a</w:t>
      </w:r>
      <w:r w:rsidR="00DC1AEA" w:rsidRPr="00F64639">
        <w:t xml:space="preserve"> konst</w:t>
      </w:r>
      <w:r w:rsidR="003E315A" w:rsidRPr="00F64639">
        <w:t>rukció</w:t>
      </w:r>
      <w:r w:rsidR="00DC1AEA" w:rsidRPr="00F64639">
        <w:t xml:space="preserve"> </w:t>
      </w:r>
      <w:r w:rsidR="003E315A" w:rsidRPr="00F64639">
        <w:t xml:space="preserve">feltételeit </w:t>
      </w:r>
      <w:r w:rsidR="0011290D" w:rsidRPr="00F64639">
        <w:t xml:space="preserve">tovább </w:t>
      </w:r>
      <w:r w:rsidR="003E315A" w:rsidRPr="00F64639">
        <w:t>enyhítette (</w:t>
      </w:r>
      <w:r w:rsidR="00DC1AEA" w:rsidRPr="00F64639">
        <w:t>lehe</w:t>
      </w:r>
      <w:r w:rsidR="003E315A" w:rsidRPr="00F64639">
        <w:t>tővé vált a tevékenység/</w:t>
      </w:r>
      <w:r w:rsidR="00DC1AEA" w:rsidRPr="00F64639">
        <w:t>ágazat váltása a támogatási időszakban</w:t>
      </w:r>
      <w:r w:rsidR="003E315A" w:rsidRPr="00F64639">
        <w:t>)</w:t>
      </w:r>
      <w:r w:rsidR="001B29DF" w:rsidRPr="00F64639">
        <w:t xml:space="preserve">. Ennek hatására </w:t>
      </w:r>
      <w:r w:rsidR="0051135A">
        <w:t xml:space="preserve">és a támogatást igénylők megnövekedett számára való tekintettel </w:t>
      </w:r>
      <w:r w:rsidR="001B29DF" w:rsidRPr="00F64639">
        <w:t>az</w:t>
      </w:r>
      <w:r w:rsidR="00DC1AEA" w:rsidRPr="00F64639">
        <w:t xml:space="preserve"> első körben </w:t>
      </w:r>
      <w:r w:rsidRPr="00F64639">
        <w:t>kialakult</w:t>
      </w:r>
      <w:r w:rsidR="00DC1AEA" w:rsidRPr="00F64639">
        <w:t xml:space="preserve"> </w:t>
      </w:r>
      <w:r w:rsidR="001B29DF" w:rsidRPr="00F64639">
        <w:t>kérelmező/támogatott arány</w:t>
      </w:r>
      <w:r w:rsidR="00DC1AEA" w:rsidRPr="00F64639">
        <w:t xml:space="preserve"> </w:t>
      </w:r>
      <w:r w:rsidR="0011290D" w:rsidRPr="00F64639">
        <w:t xml:space="preserve">még </w:t>
      </w:r>
      <w:r w:rsidR="00DC1AEA" w:rsidRPr="00F64639">
        <w:t>tovább ro</w:t>
      </w:r>
      <w:r w:rsidR="001B29DF" w:rsidRPr="00F64639">
        <w:t>mlott</w:t>
      </w:r>
      <w:r w:rsidR="00DC1AEA" w:rsidRPr="00F64639">
        <w:t>. A 2009 szeptemberében benyú</w:t>
      </w:r>
      <w:r w:rsidR="00DC1AEA" w:rsidRPr="00F64639">
        <w:t>j</w:t>
      </w:r>
      <w:r w:rsidR="00DC1AEA" w:rsidRPr="00F64639">
        <w:t xml:space="preserve">tott </w:t>
      </w:r>
      <w:r w:rsidR="003E315A" w:rsidRPr="00F64639">
        <w:t>támogatási kérelmek 1</w:t>
      </w:r>
      <w:r w:rsidR="003D5A91" w:rsidRPr="00F64639">
        <w:t>4</w:t>
      </w:r>
      <w:r w:rsidR="003E315A" w:rsidRPr="00F64639">
        <w:t>%-a nyert támogatást, míg a többieket a jogosultsági ellenőrzés so</w:t>
      </w:r>
      <w:r w:rsidRPr="00F64639">
        <w:t>rán</w:t>
      </w:r>
      <w:r w:rsidR="003E315A" w:rsidRPr="00F64639">
        <w:t>, vagy fo</w:t>
      </w:r>
      <w:r w:rsidR="003E315A" w:rsidRPr="00F64639">
        <w:t>r</w:t>
      </w:r>
      <w:r w:rsidR="003E315A" w:rsidRPr="00F64639">
        <w:t xml:space="preserve">ráshiány miatt </w:t>
      </w:r>
      <w:r w:rsidRPr="00F64639">
        <w:t>utasították el</w:t>
      </w:r>
      <w:r w:rsidR="00DC1AEA" w:rsidRPr="00F64639">
        <w:t>.</w:t>
      </w:r>
    </w:p>
    <w:p w:rsidR="00E21A12" w:rsidRPr="00F64639" w:rsidRDefault="0011290D" w:rsidP="00DC1AEA">
      <w:pPr>
        <w:pStyle w:val="HUNNormal"/>
        <w:tabs>
          <w:tab w:val="left" w:pos="709"/>
        </w:tabs>
      </w:pPr>
      <w:r w:rsidRPr="00F64639">
        <w:t>A jóváhagyott támogatási kérelmek megyei megoszlása meglehetős aránytalanságot takar: a támogatott kérelmek 53%-</w:t>
      </w:r>
      <w:proofErr w:type="gramStart"/>
      <w:r w:rsidRPr="00F64639">
        <w:t>a</w:t>
      </w:r>
      <w:proofErr w:type="gramEnd"/>
      <w:r w:rsidRPr="00F64639">
        <w:t xml:space="preserve"> 5 megyéből származik (Szabolcs-Szatmár-Bereg, Hajdú-Bihar, Bács-Kiskun, Csongrád, B</w:t>
      </w:r>
      <w:r w:rsidRPr="00F64639">
        <w:t>é</w:t>
      </w:r>
      <w:r w:rsidRPr="00F64639">
        <w:lastRenderedPageBreak/>
        <w:t xml:space="preserve">kés megyék, rendre 18%, 12%, 10%, 8%, 5%), míg </w:t>
      </w:r>
      <w:r w:rsidR="00482864" w:rsidRPr="00F64639">
        <w:t>Budapest</w:t>
      </w:r>
      <w:r w:rsidRPr="00F64639">
        <w:t xml:space="preserve"> </w:t>
      </w:r>
      <w:r w:rsidR="00482864" w:rsidRPr="00F64639">
        <w:t xml:space="preserve">után </w:t>
      </w:r>
      <w:r w:rsidRPr="00F64639">
        <w:t>(1,31%)</w:t>
      </w:r>
      <w:r w:rsidR="00482864" w:rsidRPr="00F64639">
        <w:t xml:space="preserve"> a legkevesebb </w:t>
      </w:r>
      <w:r w:rsidR="000029CC" w:rsidRPr="00F64639">
        <w:t xml:space="preserve">Komárom-Esztergom és Nógrád megyéből (rendre 1,6% és 1,47%). </w:t>
      </w:r>
      <w:r w:rsidR="004246DD" w:rsidRPr="00F64639">
        <w:t>A jóváhagyott támogatási kérelmek 54,5%-</w:t>
      </w:r>
      <w:proofErr w:type="gramStart"/>
      <w:r w:rsidR="004246DD" w:rsidRPr="00F64639">
        <w:t>a</w:t>
      </w:r>
      <w:proofErr w:type="gramEnd"/>
      <w:r w:rsidR="004246DD" w:rsidRPr="00F64639">
        <w:t xml:space="preserve"> érk</w:t>
      </w:r>
      <w:r w:rsidR="004246DD" w:rsidRPr="00F64639">
        <w:t>e</w:t>
      </w:r>
      <w:r w:rsidR="004246DD" w:rsidRPr="00F64639">
        <w:t>zett hátrányos helyzetű, LHH vagy komplex LHH kistérségből.</w:t>
      </w:r>
    </w:p>
    <w:p w:rsidR="0025082D" w:rsidRPr="00F64639" w:rsidRDefault="00374E45" w:rsidP="00BB164D">
      <w:pPr>
        <w:pStyle w:val="HUNNormal"/>
        <w:tabs>
          <w:tab w:val="left" w:pos="709"/>
        </w:tabs>
        <w:jc w:val="center"/>
      </w:pPr>
      <w:r w:rsidRPr="00F64639">
        <w:rPr>
          <w:noProof/>
          <w:sz w:val="16"/>
        </w:rPr>
        <w:drawing>
          <wp:inline distT="0" distB="0" distL="0" distR="0">
            <wp:extent cx="4559534" cy="2822562"/>
            <wp:effectExtent l="24374" t="12184" r="247172" b="167534"/>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164D" w:rsidRPr="00F64639" w:rsidRDefault="00075A29" w:rsidP="00BB164D">
      <w:pPr>
        <w:pStyle w:val="Caption"/>
        <w:jc w:val="center"/>
        <w:rPr>
          <w:color w:val="auto"/>
        </w:rPr>
      </w:pPr>
      <w:r w:rsidRPr="00F64639">
        <w:rPr>
          <w:color w:val="auto"/>
        </w:rPr>
        <w:fldChar w:fldCharType="begin"/>
      </w:r>
      <w:r w:rsidR="00BB164D" w:rsidRPr="00F64639">
        <w:rPr>
          <w:color w:val="auto"/>
        </w:rPr>
        <w:instrText xml:space="preserve"> SEQ ábra \* ARABIC </w:instrText>
      </w:r>
      <w:r w:rsidRPr="00F64639">
        <w:rPr>
          <w:color w:val="auto"/>
        </w:rPr>
        <w:fldChar w:fldCharType="separate"/>
      </w:r>
      <w:r w:rsidR="00E30745" w:rsidRPr="00F64639">
        <w:rPr>
          <w:noProof/>
          <w:color w:val="auto"/>
        </w:rPr>
        <w:t>1</w:t>
      </w:r>
      <w:r w:rsidRPr="00F64639">
        <w:rPr>
          <w:color w:val="auto"/>
        </w:rPr>
        <w:fldChar w:fldCharType="end"/>
      </w:r>
      <w:r w:rsidR="00BB164D" w:rsidRPr="00F64639">
        <w:rPr>
          <w:color w:val="auto"/>
        </w:rPr>
        <w:t>. ábra: Támogatott és beérkezett támogatási kérelmek regionális megoszlása</w:t>
      </w:r>
    </w:p>
    <w:p w:rsidR="00482864" w:rsidRPr="00F64639" w:rsidRDefault="00DC1AEA" w:rsidP="00DC1AEA">
      <w:pPr>
        <w:pStyle w:val="HUNNormal"/>
        <w:tabs>
          <w:tab w:val="left" w:pos="709"/>
        </w:tabs>
      </w:pPr>
      <w:r w:rsidRPr="00F64639">
        <w:t xml:space="preserve">Az első körben a pályázatok zömmel a növénytermesztési tevékenységre épültek, </w:t>
      </w:r>
      <w:r w:rsidR="00C156E3" w:rsidRPr="00F64639">
        <w:t xml:space="preserve">ezt kompenzálandó, </w:t>
      </w:r>
      <w:r w:rsidRPr="00F64639">
        <w:t>a második körben az állattenyésztés vállalásáért jelentős többletpont (</w:t>
      </w:r>
      <w:r w:rsidR="000238C9" w:rsidRPr="00F64639">
        <w:t>+</w:t>
      </w:r>
      <w:r w:rsidRPr="00F64639">
        <w:t>9) járt. A várt hatást azonban mérs</w:t>
      </w:r>
      <w:r w:rsidRPr="00F64639">
        <w:t>é</w:t>
      </w:r>
      <w:r w:rsidRPr="00F64639">
        <w:t xml:space="preserve">kelte, hogy a tömeg-, vagy abraktakarmányt fogyasztó fajok tenyésztését továbbra is kevesen vállalták, </w:t>
      </w:r>
      <w:r w:rsidR="00941F18" w:rsidRPr="00F64639">
        <w:t>csak a méhészetet kezdők száma nőtt meg érzékelhetően. Ennek oka az lehetett, hogy a jogcím keretében ka</w:t>
      </w:r>
      <w:r w:rsidR="00941F18" w:rsidRPr="00F64639">
        <w:t>p</w:t>
      </w:r>
      <w:r w:rsidR="00941F18" w:rsidRPr="00F64639">
        <w:t>ható támogatás más állattartó beruházásra nem volt elegendő</w:t>
      </w:r>
      <w:r w:rsidRPr="00F64639">
        <w:t>.</w:t>
      </w:r>
    </w:p>
    <w:p w:rsidR="004F56B8" w:rsidRPr="00F64639" w:rsidRDefault="008E4E97" w:rsidP="00DC1AEA">
      <w:pPr>
        <w:pStyle w:val="HUNNormal"/>
        <w:tabs>
          <w:tab w:val="left" w:pos="709"/>
        </w:tabs>
        <w:rPr>
          <w:b/>
        </w:rPr>
      </w:pPr>
      <w:r w:rsidRPr="00F64639">
        <w:rPr>
          <w:b/>
        </w:rPr>
        <w:t>Relevanciaelemzés</w:t>
      </w:r>
    </w:p>
    <w:p w:rsidR="008E4E97" w:rsidRPr="00F64639" w:rsidRDefault="00780F00" w:rsidP="00DC1AEA">
      <w:pPr>
        <w:pStyle w:val="HUNNormal"/>
        <w:tabs>
          <w:tab w:val="left" w:pos="709"/>
        </w:tabs>
      </w:pPr>
      <w:r w:rsidRPr="00F64639">
        <w:t xml:space="preserve">A beavatkozás releváns a meghatározott célok szempontjából. A beérkezett kérelemszám is azt mutatja, hogy van igény a támogatás iránt, továbbá a mezőgazdasággal foglalkozók korszerkezete is </w:t>
      </w:r>
      <w:r w:rsidR="006778C0" w:rsidRPr="00F64639">
        <w:t>indokolja a fe</w:t>
      </w:r>
      <w:r w:rsidR="006778C0" w:rsidRPr="00F64639">
        <w:t>j</w:t>
      </w:r>
      <w:r w:rsidR="006778C0" w:rsidRPr="00F64639">
        <w:t xml:space="preserve">lesztést. </w:t>
      </w:r>
      <w:r w:rsidR="00DE1BFD" w:rsidRPr="00F64639">
        <w:t xml:space="preserve">Az intézkedésre meghatározott output indikátort (támogatott fiatal gazdák száma: </w:t>
      </w:r>
      <w:r w:rsidR="0049202E">
        <w:t>2000</w:t>
      </w:r>
      <w:r w:rsidR="00DE1BFD" w:rsidRPr="00F64639">
        <w:t>) már túlte</w:t>
      </w:r>
      <w:r w:rsidR="00DE1BFD" w:rsidRPr="00F64639">
        <w:t>l</w:t>
      </w:r>
      <w:r w:rsidR="00DE1BFD" w:rsidRPr="00F64639">
        <w:t>jesítette a támogatás.</w:t>
      </w:r>
    </w:p>
    <w:p w:rsidR="00687C7B" w:rsidRPr="00F64639" w:rsidRDefault="00687C7B" w:rsidP="00DC1AEA">
      <w:pPr>
        <w:pStyle w:val="HUNNormal"/>
        <w:tabs>
          <w:tab w:val="left" w:pos="709"/>
        </w:tabs>
        <w:rPr>
          <w:b/>
        </w:rPr>
      </w:pPr>
      <w:r w:rsidRPr="00F64639">
        <w:rPr>
          <w:b/>
        </w:rPr>
        <w:t>Hatáselemzés</w:t>
      </w:r>
    </w:p>
    <w:p w:rsidR="00207946" w:rsidRPr="00F64639" w:rsidRDefault="00DC1AEA" w:rsidP="00DC1AEA">
      <w:pPr>
        <w:pStyle w:val="HUNNormal"/>
        <w:tabs>
          <w:tab w:val="left" w:pos="709"/>
        </w:tabs>
      </w:pPr>
      <w:r w:rsidRPr="00F64639">
        <w:t>Az intézkedés a mezőgazdasági szektor kedvezőtlen korszerkezetét (idős egyéni gazdálkodók magas aránya) hivatott javítan</w:t>
      </w:r>
      <w:r w:rsidR="00207946" w:rsidRPr="00F64639">
        <w:t>i</w:t>
      </w:r>
      <w:r w:rsidR="000238C9" w:rsidRPr="00F64639">
        <w:t>.</w:t>
      </w:r>
      <w:r w:rsidRPr="00F64639">
        <w:t xml:space="preserve"> </w:t>
      </w:r>
      <w:r w:rsidR="006A7966" w:rsidRPr="00F64639">
        <w:t xml:space="preserve">E tekintetben </w:t>
      </w:r>
      <w:r w:rsidR="00207946" w:rsidRPr="00F64639">
        <w:t>egyelőre</w:t>
      </w:r>
      <w:r w:rsidR="006A7966" w:rsidRPr="00F64639">
        <w:t xml:space="preserve"> az intézkedés hatása</w:t>
      </w:r>
      <w:r w:rsidR="00207946" w:rsidRPr="00F64639">
        <w:t xml:space="preserve"> még új KSH adatfelvétel hiányában a teljes agráriumra nem mérhető. A statisztika alapján az látszik csak, hogy az intézkedés indításának évére</w:t>
      </w:r>
      <w:r w:rsidRPr="00F64639">
        <w:t xml:space="preserve"> </w:t>
      </w:r>
      <w:r w:rsidR="00207946" w:rsidRPr="00F64639">
        <w:t>(2007) a korszerkezet az intézkedés tervezésekor használt 2005-</w:t>
      </w:r>
      <w:r w:rsidR="002729B2" w:rsidRPr="00F64639">
        <w:t xml:space="preserve">ös </w:t>
      </w:r>
      <w:r w:rsidR="00207946" w:rsidRPr="00F64639">
        <w:t>értékhez képest még romlott is</w:t>
      </w:r>
      <w:r w:rsidRPr="00F64639">
        <w:t xml:space="preserve">. </w:t>
      </w:r>
    </w:p>
    <w:p w:rsidR="00B27364" w:rsidRPr="00F64639" w:rsidRDefault="00207946" w:rsidP="00DC1AEA">
      <w:pPr>
        <w:pStyle w:val="HUNNormal"/>
        <w:tabs>
          <w:tab w:val="left" w:pos="709"/>
        </w:tabs>
      </w:pPr>
      <w:r w:rsidRPr="00F64639">
        <w:t>Az</w:t>
      </w:r>
      <w:r w:rsidR="009512D6" w:rsidRPr="00F64639">
        <w:t xml:space="preserve"> e-monitoring adatok </w:t>
      </w:r>
      <w:r w:rsidRPr="00F64639">
        <w:t>alapján</w:t>
      </w:r>
      <w:r w:rsidR="009512D6" w:rsidRPr="00F64639">
        <w:t xml:space="preserve"> a 25 év alattiak aránya 18%, a 25-30 év közöttieké 34%, a 30-35 év között</w:t>
      </w:r>
      <w:r w:rsidR="009512D6" w:rsidRPr="00F64639">
        <w:t>i</w:t>
      </w:r>
      <w:r w:rsidR="009512D6" w:rsidRPr="00F64639">
        <w:t>eké 32%, a 35-40 év közöttieké 1</w:t>
      </w:r>
      <w:r w:rsidR="00EC5CD4" w:rsidRPr="00F64639">
        <w:t>3</w:t>
      </w:r>
      <w:r w:rsidR="009512D6" w:rsidRPr="00F64639">
        <w:t>%, míg a 40 év feletti</w:t>
      </w:r>
      <w:r w:rsidR="00EC5CD4" w:rsidRPr="00F64639">
        <w:t>ek aránya 3% (1423</w:t>
      </w:r>
      <w:r w:rsidR="009512D6" w:rsidRPr="00F64639">
        <w:t xml:space="preserve"> kedvezményezett válasza ala</w:t>
      </w:r>
      <w:r w:rsidR="009512D6" w:rsidRPr="00F64639">
        <w:t>p</w:t>
      </w:r>
      <w:r w:rsidR="009512D6" w:rsidRPr="00F64639">
        <w:t>ján).</w:t>
      </w:r>
      <w:r w:rsidRPr="00F64639">
        <w:t xml:space="preserve"> </w:t>
      </w:r>
      <w:r w:rsidRPr="00F64639">
        <w:rPr>
          <w:b/>
        </w:rPr>
        <w:t xml:space="preserve">Az ÚMVP 26-os </w:t>
      </w:r>
      <w:r w:rsidR="00482864" w:rsidRPr="00F64639">
        <w:rPr>
          <w:b/>
        </w:rPr>
        <w:t xml:space="preserve">számú </w:t>
      </w:r>
      <w:r w:rsidRPr="00F64639">
        <w:rPr>
          <w:b/>
        </w:rPr>
        <w:t xml:space="preserve">melléklete az agrárium korszerkezetének jellemzésére a 40 év alatti korosztályt (14,1%), illetve az 55 év alatti korosztályt használja (54,9%). Az intézkedés keretében támogatottakra ezek </w:t>
      </w:r>
      <w:r w:rsidR="004F56B8" w:rsidRPr="00F64639">
        <w:rPr>
          <w:b/>
        </w:rPr>
        <w:t>a</w:t>
      </w:r>
      <w:r w:rsidRPr="00F64639">
        <w:rPr>
          <w:b/>
        </w:rPr>
        <w:t xml:space="preserve"> </w:t>
      </w:r>
      <w:r w:rsidR="00482864" w:rsidRPr="00F64639">
        <w:rPr>
          <w:b/>
        </w:rPr>
        <w:t>kategóriák</w:t>
      </w:r>
      <w:r w:rsidRPr="00F64639">
        <w:rPr>
          <w:b/>
        </w:rPr>
        <w:t xml:space="preserve"> 97%, illetve 3%</w:t>
      </w:r>
      <w:r w:rsidR="00482864" w:rsidRPr="00F64639">
        <w:rPr>
          <w:b/>
        </w:rPr>
        <w:t xml:space="preserve"> arányt mutatnak</w:t>
      </w:r>
      <w:r w:rsidRPr="00F64639">
        <w:rPr>
          <w:b/>
        </w:rPr>
        <w:t>.</w:t>
      </w:r>
      <w:r w:rsidRPr="00F64639">
        <w:t xml:space="preserve"> Utóbbiak is még 40 év alattiként kaptak támogatást és csak a monitoring időszakára lépték át a korhatárt.</w:t>
      </w:r>
    </w:p>
    <w:p w:rsidR="006A7966" w:rsidRPr="00F64639" w:rsidRDefault="00DC1AEA" w:rsidP="00DC1AEA">
      <w:pPr>
        <w:pStyle w:val="HUNNormal"/>
        <w:tabs>
          <w:tab w:val="left" w:pos="709"/>
        </w:tabs>
      </w:pPr>
      <w:r w:rsidRPr="00F64639">
        <w:lastRenderedPageBreak/>
        <w:t>A program lassú előrehaladása miatt még nem állnak rendelkezésre megfelelő adatok az üzemméret növ</w:t>
      </w:r>
      <w:r w:rsidRPr="00F64639">
        <w:t>e</w:t>
      </w:r>
      <w:r w:rsidRPr="00F64639">
        <w:t xml:space="preserve">lési követelmény </w:t>
      </w:r>
      <w:r w:rsidR="00482864" w:rsidRPr="00F64639">
        <w:t>teljesülésének megítéléséhez, így az intézkedés</w:t>
      </w:r>
      <w:r w:rsidRPr="00F64639">
        <w:t xml:space="preserve"> a szétapró</w:t>
      </w:r>
      <w:r w:rsidR="00482864" w:rsidRPr="00F64639">
        <w:t xml:space="preserve">zott birtokrészek </w:t>
      </w:r>
      <w:proofErr w:type="spellStart"/>
      <w:r w:rsidR="00482864" w:rsidRPr="00F64639">
        <w:t>aggregációjára</w:t>
      </w:r>
      <w:proofErr w:type="spellEnd"/>
      <w:r w:rsidR="00482864" w:rsidRPr="00F64639">
        <w:t xml:space="preserve"> gyakorolt hatása sem mérhető még.</w:t>
      </w:r>
      <w:r w:rsidR="001A560C" w:rsidRPr="00F64639">
        <w:t xml:space="preserve"> A közép</w:t>
      </w:r>
      <w:r w:rsidR="005E3BEA" w:rsidRPr="00F64639">
        <w:t xml:space="preserve"> és </w:t>
      </w:r>
      <w:r w:rsidR="001A560C" w:rsidRPr="00F64639">
        <w:t>hosszú távú hatások (pl.: a vidék népességmegtartó ereje) még nem mérhetőek.</w:t>
      </w:r>
    </w:p>
    <w:p w:rsidR="00482864" w:rsidRPr="00F64639" w:rsidRDefault="00482864" w:rsidP="00DC1AEA">
      <w:pPr>
        <w:pStyle w:val="HUNNormal"/>
        <w:tabs>
          <w:tab w:val="left" w:pos="709"/>
        </w:tabs>
      </w:pPr>
      <w:r w:rsidRPr="00F64639">
        <w:t>Az e-monitoring adatszolgáltatás adatai alapján az 1423 válaszadó kedvezményezett összesen 12 435 he</w:t>
      </w:r>
      <w:r w:rsidRPr="00F64639">
        <w:t>k</w:t>
      </w:r>
      <w:r w:rsidRPr="00F64639">
        <w:t>tár saját tulajdonú, míg 21 367 hektár bérelt földet kezelt összesen.</w:t>
      </w:r>
    </w:p>
    <w:p w:rsidR="001A560C" w:rsidRPr="00F64639" w:rsidRDefault="0028773B" w:rsidP="00DC1AEA">
      <w:pPr>
        <w:pStyle w:val="HUNNormal"/>
        <w:tabs>
          <w:tab w:val="left" w:pos="709"/>
        </w:tabs>
      </w:pPr>
      <w:r w:rsidRPr="00F64639">
        <w:rPr>
          <w:b/>
        </w:rPr>
        <w:t>A kapott adatok alapján megállapítható, hogy az intézkedés 2372 40 év alatti gazdálkodó elindítását szo</w:t>
      </w:r>
      <w:r w:rsidRPr="00F64639">
        <w:rPr>
          <w:b/>
        </w:rPr>
        <w:t>l</w:t>
      </w:r>
      <w:r w:rsidRPr="00F64639">
        <w:rPr>
          <w:b/>
        </w:rPr>
        <w:t>gálta. Ez mindenképpen pozitív, ugyanakkor önmagában valószínűleg nem alkalmas a korszerkezet átalak</w:t>
      </w:r>
      <w:r w:rsidRPr="00F64639">
        <w:rPr>
          <w:b/>
        </w:rPr>
        <w:t>í</w:t>
      </w:r>
      <w:r w:rsidRPr="00F64639">
        <w:rPr>
          <w:b/>
        </w:rPr>
        <w:t>tására</w:t>
      </w:r>
      <w:r w:rsidR="008D1B1F" w:rsidRPr="00F64639">
        <w:t>.</w:t>
      </w:r>
    </w:p>
    <w:p w:rsidR="004F56B8" w:rsidRPr="00F64639" w:rsidRDefault="004F56B8" w:rsidP="00DC1AEA">
      <w:pPr>
        <w:pStyle w:val="HUNNormal"/>
        <w:tabs>
          <w:tab w:val="left" w:pos="709"/>
        </w:tabs>
      </w:pPr>
    </w:p>
    <w:p w:rsidR="00687C7B" w:rsidRPr="00F64639" w:rsidRDefault="00687C7B" w:rsidP="00DC1AEA">
      <w:pPr>
        <w:pStyle w:val="HUNNormal"/>
        <w:tabs>
          <w:tab w:val="left" w:pos="709"/>
        </w:tabs>
        <w:rPr>
          <w:b/>
        </w:rPr>
      </w:pPr>
      <w:r w:rsidRPr="00F64639">
        <w:rPr>
          <w:b/>
        </w:rPr>
        <w:t>Hatékonyságelemzés</w:t>
      </w:r>
    </w:p>
    <w:p w:rsidR="00E561E5" w:rsidRPr="00F64639" w:rsidRDefault="00E561E5" w:rsidP="00E561E5">
      <w:pPr>
        <w:pStyle w:val="HUNNormal"/>
        <w:tabs>
          <w:tab w:val="left" w:pos="709"/>
        </w:tabs>
      </w:pPr>
      <w:r w:rsidRPr="00F64639">
        <w:t>Megállapítható, hogy nem volt kellően pontos a jogosult végzettségek definíciója a jogcím rendeletben, ami az OKJ számok évek közti változásával együtt pályázatkezelési zavarokat okozott. Megjegyzendő még, hogy a nemek egyenlőségének horizontális elvének érvényesülését nem szolgálta az, hogy a GYES/</w:t>
      </w:r>
      <w:proofErr w:type="spellStart"/>
      <w:r w:rsidRPr="00F64639">
        <w:t>GYED-ben</w:t>
      </w:r>
      <w:proofErr w:type="spellEnd"/>
      <w:r w:rsidRPr="00F64639">
        <w:t xml:space="preserve"> r</w:t>
      </w:r>
      <w:r w:rsidRPr="00F64639">
        <w:t>é</w:t>
      </w:r>
      <w:r w:rsidRPr="00F64639">
        <w:t>szesülő nők részvétele akadályozott volt.</w:t>
      </w:r>
    </w:p>
    <w:p w:rsidR="00482864" w:rsidRPr="00F64639" w:rsidRDefault="00DC1AEA" w:rsidP="00DC1AEA">
      <w:pPr>
        <w:pStyle w:val="HUNNormal"/>
        <w:tabs>
          <w:tab w:val="left" w:pos="709"/>
        </w:tabs>
      </w:pPr>
      <w:r w:rsidRPr="00F64639">
        <w:t xml:space="preserve">Az üzleti terv értékelése </w:t>
      </w:r>
      <w:r w:rsidR="00941F18" w:rsidRPr="00F64639">
        <w:t xml:space="preserve">részben </w:t>
      </w:r>
      <w:r w:rsidRPr="00F64639">
        <w:t>szubjektív volt,</w:t>
      </w:r>
      <w:r w:rsidR="00941F18" w:rsidRPr="00F64639">
        <w:t xml:space="preserve"> az</w:t>
      </w:r>
      <w:r w:rsidRPr="00F64639">
        <w:t xml:space="preserve"> „összhang”, „szakmai megalapozottság” és „re</w:t>
      </w:r>
      <w:r w:rsidR="00482864" w:rsidRPr="00F64639">
        <w:t>alitás</w:t>
      </w:r>
      <w:r w:rsidRPr="00F64639">
        <w:t>” megítélésén alapult.</w:t>
      </w:r>
      <w:r w:rsidR="00482864" w:rsidRPr="00F64639">
        <w:t xml:space="preserve"> Ezt viszont egy nem létező gazdaság esetén személyes találkoz</w:t>
      </w:r>
      <w:r w:rsidR="0028773B" w:rsidRPr="00F64639">
        <w:t>ó</w:t>
      </w:r>
      <w:r w:rsidR="008A3693" w:rsidRPr="00F64639">
        <w:t>,</w:t>
      </w:r>
      <w:r w:rsidR="00482864" w:rsidRPr="00F64639">
        <w:t xml:space="preserve"> helyszíni felmérés nélkül nehéz meg</w:t>
      </w:r>
      <w:r w:rsidR="0028773B" w:rsidRPr="00F64639">
        <w:t xml:space="preserve">ítélni. A várható siker felméréséhez </w:t>
      </w:r>
      <w:r w:rsidR="00482864" w:rsidRPr="00F64639">
        <w:t>a „pénzügyi terv” szerkezete sem volt ideális.</w:t>
      </w:r>
      <w:r w:rsidRPr="00F64639">
        <w:t xml:space="preserve"> </w:t>
      </w:r>
      <w:r w:rsidR="00482864" w:rsidRPr="00F64639">
        <w:t>A</w:t>
      </w:r>
      <w:r w:rsidRPr="00F64639">
        <w:t xml:space="preserve"> pén</w:t>
      </w:r>
      <w:r w:rsidRPr="00F64639">
        <w:t>z</w:t>
      </w:r>
      <w:r w:rsidRPr="00F64639">
        <w:t>ügyi terv értékelé</w:t>
      </w:r>
      <w:r w:rsidR="00482864" w:rsidRPr="00F64639">
        <w:t xml:space="preserve">si szempontjainak </w:t>
      </w:r>
      <w:r w:rsidRPr="00F64639">
        <w:t>kalkulációs háttere ismeretlen</w:t>
      </w:r>
      <w:r w:rsidR="00CB4115" w:rsidRPr="00F64639">
        <w:t xml:space="preserve"> volt </w:t>
      </w:r>
      <w:r w:rsidR="008A3693" w:rsidRPr="00F64639">
        <w:t xml:space="preserve">a </w:t>
      </w:r>
      <w:r w:rsidR="00CB4115" w:rsidRPr="00F64639">
        <w:t>kérelmezők számára</w:t>
      </w:r>
      <w:r w:rsidRPr="00F64639">
        <w:t xml:space="preserve">, felépítése és rendszere </w:t>
      </w:r>
      <w:r w:rsidR="00CB4115" w:rsidRPr="00F64639">
        <w:t xml:space="preserve">pedig </w:t>
      </w:r>
      <w:r w:rsidRPr="00F64639">
        <w:t xml:space="preserve">nem </w:t>
      </w:r>
      <w:r w:rsidR="00CB4115" w:rsidRPr="00F64639">
        <w:t xml:space="preserve">volt </w:t>
      </w:r>
      <w:r w:rsidRPr="00F64639">
        <w:t>képes az ágazati sajátságokhoz való alkalmazkodásra.</w:t>
      </w:r>
      <w:r w:rsidR="00482864" w:rsidRPr="00F64639">
        <w:t xml:space="preserve"> Emiatt az intézkedés nem orientálta a kérelmezőket valamilyen preferált üzleti irányra, noha a bírálati mechanizmusba voltak ilyen beépített preferenciák.</w:t>
      </w:r>
      <w:r w:rsidRPr="00F64639">
        <w:t xml:space="preserve"> </w:t>
      </w:r>
    </w:p>
    <w:p w:rsidR="008B0DC6" w:rsidRPr="00F64639" w:rsidRDefault="008B0DC6" w:rsidP="00DC1AEA">
      <w:pPr>
        <w:pStyle w:val="HUNNormal"/>
        <w:tabs>
          <w:tab w:val="left" w:pos="709"/>
        </w:tabs>
      </w:pPr>
      <w:r w:rsidRPr="00F64639">
        <w:t xml:space="preserve">Az interjúalanyok véleménye szerint a jogcím előírásai lehetőséget adtak olyan kérelmek benyújtására is, amelyeknél nem bizonyítható, hogy valóban </w:t>
      </w:r>
      <w:proofErr w:type="gramStart"/>
      <w:r w:rsidRPr="00F64639">
        <w:t>új gazdaság</w:t>
      </w:r>
      <w:proofErr w:type="gramEnd"/>
      <w:r w:rsidRPr="00F64639">
        <w:t xml:space="preserve"> jött létre. Elmondásuk alapján fennállt a lehetőség arra, hogy sok esetben egy gazdálkodó családtag adjon át névlegesen valamilyen birtokrészt az elnyerhető támogatás kedvéért egy fiatalabb családtagnak. Ez egyrészt azt jelenti, hogy az idősebb átadó nem adja fel a gazdálkodást, tehát bennmarad a rendszerben és a belépő fiatalok száma nem fogja valójában a szektor természetes öregedését megállítani, másrészről azt is, hogy a belépő fiatal, csak névleg gazdálkodik szem</w:t>
      </w:r>
      <w:r w:rsidRPr="00F64639">
        <w:t>é</w:t>
      </w:r>
      <w:r w:rsidRPr="00F64639">
        <w:t xml:space="preserve">lyesen. Ezzel a „megoldással” az üzemméret növekedés is könnyen biztosítható. </w:t>
      </w:r>
    </w:p>
    <w:p w:rsidR="00CB4115" w:rsidRDefault="00482864" w:rsidP="00CB4115">
      <w:pPr>
        <w:pStyle w:val="HUNNormal"/>
        <w:tabs>
          <w:tab w:val="left" w:pos="709"/>
        </w:tabs>
      </w:pPr>
      <w:r w:rsidRPr="00F64639">
        <w:t>Az intézkedés a változás beindító</w:t>
      </w:r>
      <w:r w:rsidR="00DC1AEA" w:rsidRPr="00F64639">
        <w:t xml:space="preserve"> hatását </w:t>
      </w:r>
      <w:r w:rsidR="0079789E" w:rsidRPr="00F64639">
        <w:t>gyengítette</w:t>
      </w:r>
      <w:r w:rsidR="00E561E5" w:rsidRPr="00F64639">
        <w:t xml:space="preserve"> a pályázati </w:t>
      </w:r>
      <w:r w:rsidR="00DC1AEA" w:rsidRPr="00F64639">
        <w:t>elbírálási folyamat</w:t>
      </w:r>
      <w:r w:rsidR="00E561E5" w:rsidRPr="00F64639">
        <w:t>ána</w:t>
      </w:r>
      <w:r w:rsidRPr="00F64639">
        <w:t>k</w:t>
      </w:r>
      <w:r w:rsidR="00DC1AEA" w:rsidRPr="00F64639">
        <w:t xml:space="preserve"> </w:t>
      </w:r>
      <w:r w:rsidR="00B27364" w:rsidRPr="00F64639">
        <w:t>lassúsága: a tám</w:t>
      </w:r>
      <w:r w:rsidR="00B27364" w:rsidRPr="00F64639">
        <w:t>o</w:t>
      </w:r>
      <w:r w:rsidR="00B27364" w:rsidRPr="00F64639">
        <w:t>gatási kérelmek elbírálásának átlagos átfutási ideje 217 naptári nap</w:t>
      </w:r>
      <w:r w:rsidR="00E561E5" w:rsidRPr="00F64639">
        <w:t xml:space="preserve"> volt</w:t>
      </w:r>
      <w:r w:rsidR="00097625" w:rsidRPr="00F64639">
        <w:t xml:space="preserve">. </w:t>
      </w:r>
      <w:r w:rsidR="00CB4115" w:rsidRPr="00F64639">
        <w:t>A támogatási kérelmek átfutási idejének 83%-</w:t>
      </w:r>
      <w:proofErr w:type="gramStart"/>
      <w:r w:rsidR="00CB4115" w:rsidRPr="00F64639">
        <w:t>a</w:t>
      </w:r>
      <w:proofErr w:type="gramEnd"/>
      <w:r w:rsidR="00CB4115" w:rsidRPr="00F64639">
        <w:t xml:space="preserve"> az </w:t>
      </w:r>
      <w:proofErr w:type="spellStart"/>
      <w:r w:rsidR="00CB4115" w:rsidRPr="00F64639">
        <w:t>MVH-hoz</w:t>
      </w:r>
      <w:proofErr w:type="spellEnd"/>
      <w:r w:rsidR="00CB4115" w:rsidRPr="00F64639">
        <w:t xml:space="preserve">, 14%-a az </w:t>
      </w:r>
      <w:proofErr w:type="spellStart"/>
      <w:r w:rsidR="00CB4115" w:rsidRPr="00F64639">
        <w:t>IH-hoz</w:t>
      </w:r>
      <w:proofErr w:type="spellEnd"/>
      <w:r w:rsidR="00CB4115" w:rsidRPr="00F64639">
        <w:t xml:space="preserve"> köthető, és csak 3%-nyi időben kellett az ügyfelekre várni (h</w:t>
      </w:r>
      <w:r w:rsidR="00CB4115" w:rsidRPr="00F64639">
        <w:t>i</w:t>
      </w:r>
      <w:r w:rsidR="00CB4115" w:rsidRPr="00F64639">
        <w:t>ánypótlás).</w:t>
      </w:r>
    </w:p>
    <w:p w:rsidR="00E60698" w:rsidRDefault="00607641" w:rsidP="00CB4115">
      <w:pPr>
        <w:pStyle w:val="HUNNormal"/>
        <w:tabs>
          <w:tab w:val="left" w:pos="709"/>
        </w:tabs>
      </w:pPr>
      <w:r>
        <w:t xml:space="preserve">Érdemes még megemlíteni az </w:t>
      </w:r>
      <w:proofErr w:type="spellStart"/>
      <w:r w:rsidRPr="00607641">
        <w:t>Agrya</w:t>
      </w:r>
      <w:proofErr w:type="spellEnd"/>
      <w:r w:rsidRPr="00607641">
        <w:t xml:space="preserve"> Fiatal Gazdák Magyarországi Szövetsége</w:t>
      </w:r>
      <w:r>
        <w:t xml:space="preserve"> véleményét, amely szintén a hatékonyság témakörét érinti. Az érdekképviselet szerint </w:t>
      </w:r>
      <w:r w:rsidRPr="00607641">
        <w:t>a számtalan változtatás a jogcímrendeletben so</w:t>
      </w:r>
      <w:r w:rsidRPr="00607641">
        <w:t>k</w:t>
      </w:r>
      <w:r w:rsidRPr="00607641">
        <w:t>szor tette követhetetlenné az ügyfelek számára a feltételrendszert. A fiatal gazdálkodók jelentős része a mai napig bizonytalan a vállalások betartásával ellenőrzésével kapcsolatban.</w:t>
      </w:r>
    </w:p>
    <w:p w:rsidR="00E60698" w:rsidRDefault="00E60698" w:rsidP="00CB4115">
      <w:pPr>
        <w:pStyle w:val="HUNNormal"/>
        <w:tabs>
          <w:tab w:val="left" w:pos="709"/>
        </w:tabs>
      </w:pPr>
    </w:p>
    <w:p w:rsidR="00E60698" w:rsidRDefault="00E60698" w:rsidP="00CB4115">
      <w:pPr>
        <w:pStyle w:val="HUNNormal"/>
        <w:tabs>
          <w:tab w:val="left" w:pos="709"/>
        </w:tabs>
      </w:pPr>
    </w:p>
    <w:p w:rsidR="00E60698" w:rsidRPr="00F64639" w:rsidRDefault="00E60698" w:rsidP="00CB4115">
      <w:pPr>
        <w:pStyle w:val="HUNNormal"/>
        <w:tabs>
          <w:tab w:val="left" w:pos="709"/>
        </w:tabs>
      </w:pPr>
    </w:p>
    <w:p w:rsidR="00BA3419" w:rsidRPr="00F64639" w:rsidRDefault="00F253F7" w:rsidP="00E60698">
      <w:pPr>
        <w:pStyle w:val="HUNHeading3"/>
        <w:ind w:left="851" w:hanging="851"/>
      </w:pPr>
      <w:bookmarkStart w:id="6" w:name="_Toc280786849"/>
      <w:r w:rsidRPr="00F64639">
        <w:lastRenderedPageBreak/>
        <w:t xml:space="preserve">A mezőgazdasági termelők gazdaságátadásához nyújtott támogatás </w:t>
      </w:r>
      <w:r w:rsidR="00BA3419" w:rsidRPr="00F64639">
        <w:t>(113. intézkedés)</w:t>
      </w:r>
      <w:bookmarkEnd w:id="6"/>
    </w:p>
    <w:p w:rsidR="001516A4" w:rsidRPr="00F64639" w:rsidRDefault="001516A4" w:rsidP="001516A4">
      <w:pPr>
        <w:pStyle w:val="HUNNormal"/>
        <w:tabs>
          <w:tab w:val="left" w:pos="709"/>
        </w:tabs>
      </w:pPr>
      <w:r w:rsidRPr="00F64639">
        <w:t xml:space="preserve">A mezőgazdasági termelők gazdaságátadásához nyújtott támogatás </w:t>
      </w:r>
      <w:r w:rsidR="0002094A" w:rsidRPr="00F64639">
        <w:t>című jogcím</w:t>
      </w:r>
      <w:r w:rsidRPr="00F64639">
        <w:t xml:space="preserve"> (113) </w:t>
      </w:r>
      <w:r w:rsidRPr="00F64639">
        <w:rPr>
          <w:b/>
        </w:rPr>
        <w:t>célja</w:t>
      </w:r>
      <w:r w:rsidRPr="00F64639">
        <w:t xml:space="preserve"> a mezőgazd</w:t>
      </w:r>
      <w:r w:rsidRPr="00F64639">
        <w:t>a</w:t>
      </w:r>
      <w:r w:rsidRPr="00F64639">
        <w:t xml:space="preserve">sági termelő tevékenységet végzők </w:t>
      </w:r>
      <w:r w:rsidRPr="00F64639">
        <w:rPr>
          <w:b/>
        </w:rPr>
        <w:t>korösszetételének</w:t>
      </w:r>
      <w:r w:rsidRPr="00F64639">
        <w:t xml:space="preserve"> – a fiatal mezőgazdasági termelők támogatásával összehangolt– javítása, az elaprózódott </w:t>
      </w:r>
      <w:r w:rsidRPr="00F64639">
        <w:rPr>
          <w:b/>
        </w:rPr>
        <w:t>birtokszerkezet</w:t>
      </w:r>
      <w:r w:rsidRPr="00F64639">
        <w:t xml:space="preserve"> ésszerű </w:t>
      </w:r>
      <w:r w:rsidRPr="00F64639">
        <w:rPr>
          <w:b/>
        </w:rPr>
        <w:t>koncentrálódásának</w:t>
      </w:r>
      <w:r w:rsidRPr="00F64639">
        <w:t xml:space="preserve"> </w:t>
      </w:r>
      <w:r w:rsidRPr="00F64639">
        <w:rPr>
          <w:b/>
        </w:rPr>
        <w:t>elősegítése</w:t>
      </w:r>
      <w:r w:rsidRPr="00F64639">
        <w:t xml:space="preserve">, és a </w:t>
      </w:r>
      <w:r w:rsidRPr="00F64639">
        <w:rPr>
          <w:b/>
        </w:rPr>
        <w:t>ga</w:t>
      </w:r>
      <w:r w:rsidRPr="00F64639">
        <w:rPr>
          <w:b/>
        </w:rPr>
        <w:t>z</w:t>
      </w:r>
      <w:r w:rsidRPr="00F64639">
        <w:rPr>
          <w:b/>
        </w:rPr>
        <w:t>daságok</w:t>
      </w:r>
      <w:r w:rsidRPr="00F64639">
        <w:t xml:space="preserve"> átlagos </w:t>
      </w:r>
      <w:r w:rsidRPr="00F64639">
        <w:rPr>
          <w:b/>
        </w:rPr>
        <w:t>méretének</w:t>
      </w:r>
      <w:r w:rsidRPr="00F64639">
        <w:t xml:space="preserve"> </w:t>
      </w:r>
      <w:r w:rsidRPr="00F64639">
        <w:rPr>
          <w:b/>
        </w:rPr>
        <w:t>növelése.</w:t>
      </w:r>
    </w:p>
    <w:p w:rsidR="001516A4" w:rsidRPr="00F64639" w:rsidRDefault="001516A4" w:rsidP="001516A4">
      <w:pPr>
        <w:jc w:val="both"/>
        <w:rPr>
          <w:iCs/>
          <w:szCs w:val="22"/>
        </w:rPr>
      </w:pPr>
      <w:r w:rsidRPr="00F64639">
        <w:rPr>
          <w:iCs/>
          <w:szCs w:val="22"/>
        </w:rPr>
        <w:t xml:space="preserve">A következő táblázat szemlélteti az intézkedés főbb </w:t>
      </w:r>
      <w:proofErr w:type="gramStart"/>
      <w:r w:rsidRPr="00F64639">
        <w:rPr>
          <w:iCs/>
          <w:szCs w:val="22"/>
        </w:rPr>
        <w:t>adatait</w:t>
      </w:r>
      <w:r w:rsidRPr="00F64639">
        <w:rPr>
          <w:rStyle w:val="FootnoteReference"/>
          <w:iCs/>
          <w:szCs w:val="22"/>
        </w:rPr>
        <w:footnoteReference w:id="16"/>
      </w:r>
      <w:r w:rsidRPr="00F64639">
        <w:rPr>
          <w:iCs/>
          <w:szCs w:val="22"/>
        </w:rPr>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1516A4"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1516A4" w:rsidRPr="00F64639" w:rsidRDefault="001516A4" w:rsidP="000B0E4C">
            <w:pPr>
              <w:jc w:val="center"/>
              <w:rPr>
                <w:b/>
                <w:bCs/>
                <w:iCs/>
                <w:color w:val="FFFFFF"/>
                <w:szCs w:val="22"/>
              </w:rPr>
            </w:pPr>
            <w:r w:rsidRPr="00F64639">
              <w:rPr>
                <w:b/>
                <w:bCs/>
                <w:iCs/>
                <w:color w:val="FFFFFF"/>
                <w:szCs w:val="22"/>
              </w:rPr>
              <w:t>Korengedményes nyugdíjazás</w:t>
            </w:r>
          </w:p>
        </w:tc>
      </w:tr>
      <w:tr w:rsidR="001516A4"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Indikatív keret</w:t>
            </w:r>
            <w:r w:rsidRPr="00F64639">
              <w:rPr>
                <w:rStyle w:val="FootnoteReference"/>
                <w:b/>
                <w:bCs/>
                <w:iCs/>
                <w:color w:val="FFFFFF"/>
                <w:szCs w:val="22"/>
              </w:rPr>
              <w:footnoteReference w:id="17"/>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1516A4" w:rsidRPr="00F64639" w:rsidRDefault="001516A4" w:rsidP="000B0E4C">
            <w:pPr>
              <w:jc w:val="center"/>
              <w:rPr>
                <w:rFonts w:cs="Arial"/>
                <w:sz w:val="18"/>
                <w:szCs w:val="18"/>
              </w:rPr>
            </w:pPr>
            <w:r w:rsidRPr="00F64639">
              <w:rPr>
                <w:rFonts w:cs="Arial"/>
                <w:szCs w:val="18"/>
              </w:rPr>
              <w:t xml:space="preserve">11 001 721 </w:t>
            </w:r>
            <w:r w:rsidR="0022006B" w:rsidRPr="00F64639">
              <w:rPr>
                <w:rFonts w:cs="Arial"/>
                <w:szCs w:val="18"/>
              </w:rPr>
              <w:t>EUR</w:t>
            </w:r>
          </w:p>
        </w:tc>
      </w:tr>
      <w:tr w:rsidR="001516A4" w:rsidRPr="00F64639" w:rsidTr="000B0E4C">
        <w:tc>
          <w:tcPr>
            <w:tcW w:w="2778" w:type="pct"/>
            <w:tcBorders>
              <w:left w:val="single" w:sz="8" w:space="0" w:color="FFFFFF"/>
              <w:bottom w:val="nil"/>
              <w:right w:val="single" w:sz="24"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1516A4" w:rsidRPr="00F64639" w:rsidRDefault="001516A4" w:rsidP="000B0E4C">
            <w:pPr>
              <w:jc w:val="center"/>
              <w:rPr>
                <w:iCs/>
                <w:szCs w:val="22"/>
              </w:rPr>
            </w:pPr>
            <w:r w:rsidRPr="00F64639">
              <w:rPr>
                <w:iCs/>
                <w:szCs w:val="22"/>
              </w:rPr>
              <w:t>37</w:t>
            </w:r>
            <w:r w:rsidR="004F2360" w:rsidRPr="00F64639">
              <w:rPr>
                <w:iCs/>
                <w:szCs w:val="22"/>
              </w:rPr>
              <w:t xml:space="preserve"> db</w:t>
            </w:r>
          </w:p>
        </w:tc>
      </w:tr>
      <w:tr w:rsidR="001516A4"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1516A4" w:rsidRPr="00F64639" w:rsidRDefault="001516A4" w:rsidP="000B0E4C">
            <w:pPr>
              <w:jc w:val="center"/>
              <w:rPr>
                <w:iCs/>
                <w:szCs w:val="22"/>
              </w:rPr>
            </w:pPr>
            <w:r w:rsidRPr="00F64639">
              <w:rPr>
                <w:iCs/>
                <w:szCs w:val="22"/>
              </w:rPr>
              <w:t>37</w:t>
            </w:r>
            <w:r w:rsidR="004F2360" w:rsidRPr="00F64639">
              <w:rPr>
                <w:iCs/>
                <w:szCs w:val="22"/>
              </w:rPr>
              <w:t xml:space="preserve"> db</w:t>
            </w:r>
          </w:p>
        </w:tc>
      </w:tr>
      <w:tr w:rsidR="001516A4" w:rsidRPr="00F64639" w:rsidTr="000B0E4C">
        <w:tc>
          <w:tcPr>
            <w:tcW w:w="2778" w:type="pct"/>
            <w:tcBorders>
              <w:left w:val="single" w:sz="8" w:space="0" w:color="FFFFFF"/>
              <w:bottom w:val="nil"/>
              <w:right w:val="single" w:sz="24"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1516A4" w:rsidRPr="00F64639" w:rsidRDefault="001516A4" w:rsidP="000B0E4C">
            <w:pPr>
              <w:jc w:val="center"/>
              <w:rPr>
                <w:iCs/>
                <w:szCs w:val="22"/>
              </w:rPr>
            </w:pPr>
            <w:r w:rsidRPr="00F64639">
              <w:rPr>
                <w:iCs/>
                <w:szCs w:val="22"/>
              </w:rPr>
              <w:t>25</w:t>
            </w:r>
            <w:r w:rsidR="004F2360" w:rsidRPr="00F64639">
              <w:rPr>
                <w:iCs/>
                <w:szCs w:val="22"/>
              </w:rPr>
              <w:t xml:space="preserve"> db</w:t>
            </w:r>
          </w:p>
        </w:tc>
      </w:tr>
      <w:tr w:rsidR="001516A4"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1516A4" w:rsidRPr="00F64639" w:rsidRDefault="001516A4" w:rsidP="000B0E4C">
            <w:pPr>
              <w:jc w:val="center"/>
              <w:rPr>
                <w:iCs/>
                <w:szCs w:val="22"/>
              </w:rPr>
            </w:pPr>
            <w:r w:rsidRPr="00F64639">
              <w:rPr>
                <w:iCs/>
                <w:szCs w:val="22"/>
              </w:rPr>
              <w:t>307 533 492 Ft</w:t>
            </w:r>
            <w:r w:rsidRPr="00F64639">
              <w:rPr>
                <w:rStyle w:val="FootnoteReference"/>
                <w:iCs/>
                <w:szCs w:val="22"/>
              </w:rPr>
              <w:footnoteReference w:id="18"/>
            </w:r>
          </w:p>
        </w:tc>
      </w:tr>
      <w:tr w:rsidR="001516A4" w:rsidRPr="00F64639" w:rsidTr="000B0E4C">
        <w:tc>
          <w:tcPr>
            <w:tcW w:w="2778" w:type="pct"/>
            <w:tcBorders>
              <w:left w:val="single" w:sz="8" w:space="0" w:color="FFFFFF"/>
              <w:right w:val="single" w:sz="24" w:space="0" w:color="FFFFFF"/>
            </w:tcBorders>
            <w:shd w:val="clear" w:color="auto" w:fill="C0504D"/>
          </w:tcPr>
          <w:p w:rsidR="001516A4" w:rsidRPr="00F64639" w:rsidRDefault="001516A4"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1516A4" w:rsidRPr="00F64639" w:rsidRDefault="001516A4" w:rsidP="002D748A">
            <w:pPr>
              <w:jc w:val="center"/>
              <w:rPr>
                <w:iCs/>
                <w:szCs w:val="22"/>
              </w:rPr>
            </w:pPr>
            <w:r w:rsidRPr="00F64639">
              <w:rPr>
                <w:iCs/>
                <w:szCs w:val="22"/>
              </w:rPr>
              <w:t xml:space="preserve">108 441 </w:t>
            </w:r>
            <w:r w:rsidR="002D748A" w:rsidRPr="00F64639">
              <w:rPr>
                <w:iCs/>
                <w:szCs w:val="22"/>
              </w:rPr>
              <w:t>EUR</w:t>
            </w:r>
            <w:r w:rsidRPr="00F64639">
              <w:rPr>
                <w:iCs/>
                <w:szCs w:val="22"/>
              </w:rPr>
              <w:t xml:space="preserve"> </w:t>
            </w:r>
            <w:r w:rsidRPr="00F64639">
              <w:rPr>
                <w:rStyle w:val="FootnoteReference"/>
                <w:iCs/>
                <w:szCs w:val="22"/>
              </w:rPr>
              <w:footnoteReference w:id="19"/>
            </w:r>
            <w:r w:rsidR="002D748A" w:rsidRPr="00F64639">
              <w:rPr>
                <w:iCs/>
                <w:szCs w:val="22"/>
              </w:rPr>
              <w:t xml:space="preserve"> (29 506 796 </w:t>
            </w:r>
            <w:r w:rsidR="0022006B" w:rsidRPr="00F64639">
              <w:rPr>
                <w:iCs/>
                <w:szCs w:val="22"/>
              </w:rPr>
              <w:t>Ft</w:t>
            </w:r>
            <w:r w:rsidR="002D748A" w:rsidRPr="00F64639">
              <w:rPr>
                <w:iCs/>
                <w:szCs w:val="22"/>
              </w:rPr>
              <w:t>)</w:t>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w:t>
      </w:r>
      <w:r w:rsidRPr="00F64639">
        <w:rPr>
          <w:color w:val="auto"/>
        </w:rPr>
        <w:fldChar w:fldCharType="end"/>
      </w:r>
      <w:r w:rsidR="00AB435B" w:rsidRPr="00F64639">
        <w:rPr>
          <w:color w:val="auto"/>
        </w:rPr>
        <w:t>. táblázat: A jogcím általános jellemzői</w:t>
      </w:r>
    </w:p>
    <w:p w:rsidR="004F2360" w:rsidRPr="00F64639" w:rsidRDefault="000E00F4" w:rsidP="001516A4">
      <w:pPr>
        <w:pStyle w:val="HUNNormal"/>
        <w:tabs>
          <w:tab w:val="left" w:pos="709"/>
        </w:tabs>
        <w:rPr>
          <w:b/>
        </w:rPr>
      </w:pPr>
      <w:r w:rsidRPr="00F64639">
        <w:rPr>
          <w:b/>
        </w:rPr>
        <w:t>A támogatást olyan gazdálkodó igényelhette, aki legalább 10 éve gazdálkodik legalább három hektár terül</w:t>
      </w:r>
      <w:r w:rsidRPr="00F64639">
        <w:rPr>
          <w:b/>
        </w:rPr>
        <w:t>e</w:t>
      </w:r>
      <w:r w:rsidRPr="00F64639">
        <w:rPr>
          <w:b/>
        </w:rPr>
        <w:t>ten és megfelel a további jogosultsági feltételeknek.</w:t>
      </w:r>
    </w:p>
    <w:p w:rsidR="000E00F4" w:rsidRPr="00F64639" w:rsidRDefault="000E00F4" w:rsidP="001516A4">
      <w:pPr>
        <w:pStyle w:val="HUNNormal"/>
        <w:tabs>
          <w:tab w:val="left" w:pos="709"/>
        </w:tabs>
      </w:pPr>
      <w:r w:rsidRPr="00F64639">
        <w:t>A támogatás mérték</w:t>
      </w:r>
      <w:r w:rsidR="00F73DAC" w:rsidRPr="00F64639">
        <w:t>ét</w:t>
      </w:r>
      <w:r w:rsidRPr="00F64639">
        <w:t xml:space="preserve"> az üzemméret alapján határozzák meg és </w:t>
      </w:r>
      <w:r w:rsidR="00687C7B" w:rsidRPr="00F64639">
        <w:t>a minimálbér 25%-</w:t>
      </w:r>
      <w:proofErr w:type="gramStart"/>
      <w:r w:rsidR="00687C7B" w:rsidRPr="00F64639">
        <w:t>a</w:t>
      </w:r>
      <w:proofErr w:type="gramEnd"/>
      <w:r w:rsidR="00687C7B" w:rsidRPr="00F64639">
        <w:t xml:space="preserve"> és 200%-a közé eshet.</w:t>
      </w:r>
    </w:p>
    <w:p w:rsidR="001516A4" w:rsidRPr="00F64639" w:rsidRDefault="0002094A" w:rsidP="001516A4">
      <w:pPr>
        <w:pStyle w:val="HUNNormal"/>
        <w:tabs>
          <w:tab w:val="left" w:pos="709"/>
        </w:tabs>
      </w:pPr>
      <w:r w:rsidRPr="00F64639">
        <w:t xml:space="preserve">A kérelmeket 2008. januártól fogadó </w:t>
      </w:r>
      <w:r w:rsidR="001516A4" w:rsidRPr="00F64639">
        <w:t>konstrukció lassan indult be, a beadott kérelmek feldolgozását csak nyáron kezdte meg az MVH. Az intézkedés iránti csekély érdeklődést jól mutatta, hogy összesen 60</w:t>
      </w:r>
      <w:r w:rsidR="001B2F60" w:rsidRPr="00F64639">
        <w:t xml:space="preserve"> db</w:t>
      </w:r>
      <w:r w:rsidR="001516A4" w:rsidRPr="00F64639">
        <w:t xml:space="preserve"> kér</w:t>
      </w:r>
      <w:r w:rsidR="001516A4" w:rsidRPr="00F64639">
        <w:t>e</w:t>
      </w:r>
      <w:r w:rsidR="001516A4" w:rsidRPr="00F64639">
        <w:t>lem érkezett, amelyek közül csupán 1 db nyert. A rendkívül rossz nyerési arány miatt az FVM visszamenől</w:t>
      </w:r>
      <w:r w:rsidR="001516A4" w:rsidRPr="00F64639">
        <w:t>e</w:t>
      </w:r>
      <w:r w:rsidR="001516A4" w:rsidRPr="00F64639">
        <w:t xml:space="preserve">ges hatállyal </w:t>
      </w:r>
      <w:r w:rsidR="00B91AB0" w:rsidRPr="00F64639">
        <w:t>enyhített a támogatási feltételeken</w:t>
      </w:r>
      <w:r w:rsidR="001516A4" w:rsidRPr="00F64639">
        <w:t>, ami</w:t>
      </w:r>
      <w:r w:rsidR="001B2F60" w:rsidRPr="00F64639">
        <w:t xml:space="preserve"> </w:t>
      </w:r>
      <w:r w:rsidR="001516A4" w:rsidRPr="00F64639">
        <w:t xml:space="preserve">36 </w:t>
      </w:r>
      <w:r w:rsidR="001B2F60" w:rsidRPr="00F64639">
        <w:t xml:space="preserve">db </w:t>
      </w:r>
      <w:r w:rsidR="001516A4" w:rsidRPr="00F64639">
        <w:t>nyertest ered</w:t>
      </w:r>
      <w:r w:rsidR="001B2F60" w:rsidRPr="00F64639">
        <w:t>ményezett</w:t>
      </w:r>
      <w:r w:rsidR="008D1B1F" w:rsidRPr="00F64639">
        <w:t>.</w:t>
      </w:r>
    </w:p>
    <w:p w:rsidR="001F4267" w:rsidRPr="00F64639" w:rsidRDefault="001F4267" w:rsidP="001516A4">
      <w:pPr>
        <w:pStyle w:val="HUNNormal"/>
        <w:tabs>
          <w:tab w:val="left" w:pos="709"/>
        </w:tabs>
      </w:pPr>
      <w:r w:rsidRPr="00F64639">
        <w:t>A jóváhagyott támogatási kérelmek megyei eloszlása meglehetősen koncentrált: a kérelmek 44%-a három megyéből, Fejér (19%), Győr-Moson-Sopron (14%) és Komárom-Esztergom (11%) megyéből származik, míg a legkevesebb igény Bács-Kiskun (3%) és Jász-Nagykun-Szolnok (3%) megyéből érkezett.</w:t>
      </w:r>
      <w:r w:rsidR="00D00602" w:rsidRPr="00F64639">
        <w:t xml:space="preserve"> </w:t>
      </w:r>
      <w:r w:rsidR="00F831CE" w:rsidRPr="00F64639">
        <w:t>A jóváhagyott kére</w:t>
      </w:r>
      <w:r w:rsidR="00F831CE" w:rsidRPr="00F64639">
        <w:t>l</w:t>
      </w:r>
      <w:r w:rsidR="00F831CE" w:rsidRPr="00F64639">
        <w:t>mek 53%-a hátrányos helyzetű, LHH vagy komplex LHH kistérségből származik (rendre 42%, 3%, 8%).</w:t>
      </w:r>
    </w:p>
    <w:p w:rsidR="00264639" w:rsidRPr="00F64639" w:rsidRDefault="00264639" w:rsidP="001516A4">
      <w:pPr>
        <w:pStyle w:val="HUNNormal"/>
        <w:tabs>
          <w:tab w:val="left" w:pos="709"/>
        </w:tabs>
      </w:pPr>
    </w:p>
    <w:p w:rsidR="004F56B8" w:rsidRPr="00F64639" w:rsidRDefault="00DE1BFD" w:rsidP="001516A4">
      <w:pPr>
        <w:pStyle w:val="HUNNormal"/>
        <w:tabs>
          <w:tab w:val="left" w:pos="709"/>
        </w:tabs>
        <w:rPr>
          <w:b/>
        </w:rPr>
      </w:pPr>
      <w:r w:rsidRPr="00F64639">
        <w:rPr>
          <w:b/>
        </w:rPr>
        <w:t>Relevanciaelemzés</w:t>
      </w:r>
    </w:p>
    <w:p w:rsidR="00DE1BFD" w:rsidRPr="00F64639" w:rsidRDefault="00264639" w:rsidP="001516A4">
      <w:pPr>
        <w:pStyle w:val="HUNNormal"/>
        <w:tabs>
          <w:tab w:val="left" w:pos="709"/>
        </w:tabs>
      </w:pPr>
      <w:r w:rsidRPr="00F64639">
        <w:t xml:space="preserve">A beavatkozás céljai relevánsak, de a konkrét megvalósítási mód, támogatási mérték a hazai körülmények között nem tudta a gazdaságátadásra ösztönözni az idősebb gazdákat. Az intézkedésre jelentkezők alacsony </w:t>
      </w:r>
      <w:r w:rsidRPr="00F64639">
        <w:lastRenderedPageBreak/>
        <w:t>számához hozzájárult még az ellentétes hatás</w:t>
      </w:r>
      <w:r w:rsidR="00624860" w:rsidRPr="00F64639">
        <w:t>t</w:t>
      </w:r>
      <w:r w:rsidRPr="00F64639">
        <w:t xml:space="preserve"> kifejtő szabályozási környezet is. A jelenlegi státusz alapján az </w:t>
      </w:r>
      <w:proofErr w:type="spellStart"/>
      <w:r w:rsidRPr="00F64639">
        <w:t>ÚMVP-ben</w:t>
      </w:r>
      <w:proofErr w:type="spellEnd"/>
      <w:r w:rsidRPr="00F64639">
        <w:t xml:space="preserve"> rögzített output indikátor célértéke kevéssé reális (a gazdaságukat átadó gazdák száma 4500 fő).</w:t>
      </w:r>
    </w:p>
    <w:p w:rsidR="00687C7B" w:rsidRPr="00F64639" w:rsidRDefault="00687C7B" w:rsidP="004F56B8">
      <w:pPr>
        <w:pStyle w:val="HUNNormal"/>
        <w:keepNext/>
        <w:tabs>
          <w:tab w:val="left" w:pos="709"/>
        </w:tabs>
        <w:rPr>
          <w:b/>
        </w:rPr>
      </w:pPr>
      <w:r w:rsidRPr="00F64639">
        <w:rPr>
          <w:b/>
        </w:rPr>
        <w:t>Hatáselemzés</w:t>
      </w:r>
    </w:p>
    <w:p w:rsidR="002D748A" w:rsidRPr="00F64639" w:rsidRDefault="002D748A" w:rsidP="004F56B8">
      <w:pPr>
        <w:pStyle w:val="HUNNormal"/>
        <w:keepNext/>
        <w:tabs>
          <w:tab w:val="left" w:pos="709"/>
        </w:tabs>
        <w:rPr>
          <w:b/>
        </w:rPr>
      </w:pPr>
      <w:r w:rsidRPr="00F64639">
        <w:rPr>
          <w:b/>
        </w:rPr>
        <w:t>Az intézkedéstől a gazdaságok teljesítményének növekedését vártuk a korszerkezet, a birtokstruktúra jav</w:t>
      </w:r>
      <w:r w:rsidRPr="00F64639">
        <w:rPr>
          <w:b/>
        </w:rPr>
        <w:t>í</w:t>
      </w:r>
      <w:r w:rsidRPr="00F64639">
        <w:rPr>
          <w:b/>
        </w:rPr>
        <w:t xml:space="preserve">tásán keresztül. A hosszú távú hatás a vidék népességmegtartó erejének növekedése </w:t>
      </w:r>
      <w:r w:rsidR="00ED5640" w:rsidRPr="00F64639">
        <w:rPr>
          <w:b/>
        </w:rPr>
        <w:t>lenne</w:t>
      </w:r>
      <w:r w:rsidRPr="00F64639">
        <w:rPr>
          <w:b/>
        </w:rPr>
        <w:t>.</w:t>
      </w:r>
    </w:p>
    <w:p w:rsidR="00F56063" w:rsidRPr="00F64639" w:rsidRDefault="00F56063" w:rsidP="001516A4">
      <w:pPr>
        <w:pStyle w:val="HUNNormal"/>
        <w:tabs>
          <w:tab w:val="left" w:pos="709"/>
        </w:tabs>
      </w:pPr>
      <w:r w:rsidRPr="00F64639">
        <w:t xml:space="preserve">Az </w:t>
      </w:r>
      <w:proofErr w:type="spellStart"/>
      <w:r w:rsidRPr="00F64639">
        <w:t>IIER-ből</w:t>
      </w:r>
      <w:proofErr w:type="spellEnd"/>
      <w:r w:rsidRPr="00F64639">
        <w:t xml:space="preserve"> kinyert e-monitoring adtok alapján vizsgáltuk az intézkedésben támogatást nyert ügyfelek ko</w:t>
      </w:r>
      <w:r w:rsidRPr="00F64639">
        <w:t>r</w:t>
      </w:r>
      <w:r w:rsidRPr="00F64639">
        <w:t>szerkezetét, valamint az átadott birtok</w:t>
      </w:r>
      <w:r w:rsidR="00B91AB0" w:rsidRPr="00F64639">
        <w:t xml:space="preserve">ok </w:t>
      </w:r>
      <w:proofErr w:type="spellStart"/>
      <w:r w:rsidR="00B91AB0" w:rsidRPr="00F64639">
        <w:t>összméretét</w:t>
      </w:r>
      <w:proofErr w:type="spellEnd"/>
      <w:r w:rsidR="00B91AB0" w:rsidRPr="00F64639">
        <w:t>. A 36</w:t>
      </w:r>
      <w:r w:rsidRPr="00F64639">
        <w:t xml:space="preserve"> kedvezményezett közül összesen 23-an adtak monitoring adatszolgáltatást, mely alapján megállapítható, hogy az átadó gazdák átlagéletkora 60 év (az egyes értékek 57 és 63 év között szóródnak). A 23 válaszadó közül 13-an megadták az átadott birtok </w:t>
      </w:r>
      <w:proofErr w:type="spellStart"/>
      <w:r w:rsidR="00E868F3" w:rsidRPr="00F64639">
        <w:t>össz</w:t>
      </w:r>
      <w:r w:rsidRPr="00F64639">
        <w:t>méretét</w:t>
      </w:r>
      <w:proofErr w:type="spellEnd"/>
      <w:r w:rsidRPr="00F64639">
        <w:t xml:space="preserve"> is: 458 hektár.</w:t>
      </w:r>
    </w:p>
    <w:p w:rsidR="008E3991" w:rsidRPr="00F64639" w:rsidRDefault="002D748A" w:rsidP="001516A4">
      <w:pPr>
        <w:pStyle w:val="HUNNormal"/>
        <w:tabs>
          <w:tab w:val="left" w:pos="709"/>
        </w:tabs>
        <w:rPr>
          <w:b/>
        </w:rPr>
      </w:pPr>
      <w:r w:rsidRPr="00F64639">
        <w:rPr>
          <w:b/>
        </w:rPr>
        <w:t xml:space="preserve">A </w:t>
      </w:r>
      <w:r w:rsidR="004F56B8" w:rsidRPr="00F64639">
        <w:rPr>
          <w:b/>
        </w:rPr>
        <w:t>kisszámú</w:t>
      </w:r>
      <w:r w:rsidRPr="00F64639">
        <w:rPr>
          <w:b/>
        </w:rPr>
        <w:t xml:space="preserve"> projekt miatt az intézkedés hatása nem vizsgálható érdemben. Ha a jogcím elérhető lesz a jöv</w:t>
      </w:r>
      <w:r w:rsidRPr="00F64639">
        <w:rPr>
          <w:b/>
        </w:rPr>
        <w:t>ő</w:t>
      </w:r>
      <w:r w:rsidRPr="00F64639">
        <w:rPr>
          <w:b/>
        </w:rPr>
        <w:t>ben, akkor érdemes a megnyitást megelőzően a korábbi nyertesek körében a tapasztalatokat részletesen felmérni.</w:t>
      </w:r>
    </w:p>
    <w:p w:rsidR="00687C7B" w:rsidRPr="00F64639" w:rsidRDefault="00687C7B" w:rsidP="001516A4">
      <w:pPr>
        <w:pStyle w:val="HUNNormal"/>
        <w:tabs>
          <w:tab w:val="left" w:pos="709"/>
        </w:tabs>
        <w:rPr>
          <w:b/>
        </w:rPr>
      </w:pPr>
      <w:r w:rsidRPr="00F64639">
        <w:rPr>
          <w:b/>
        </w:rPr>
        <w:t>Hatékonyságelemzés</w:t>
      </w:r>
    </w:p>
    <w:p w:rsidR="008D1B1F" w:rsidRPr="00F64639" w:rsidRDefault="00687C7B" w:rsidP="008D1B1F">
      <w:pPr>
        <w:pStyle w:val="HUNNormal"/>
        <w:tabs>
          <w:tab w:val="left" w:pos="709"/>
        </w:tabs>
      </w:pPr>
      <w:r w:rsidRPr="00F64639">
        <w:t xml:space="preserve">Az EU-ban kipróbált gyakorlatra épülő konstrukció itthon sikertelennek minősíthető az érdeklődés hiánya miatt. A hazai körülmények – a </w:t>
      </w:r>
      <w:proofErr w:type="spellStart"/>
      <w:r w:rsidRPr="00F64639">
        <w:t>TSZ-esítés</w:t>
      </w:r>
      <w:proofErr w:type="spellEnd"/>
      <w:r w:rsidRPr="00F64639">
        <w:t xml:space="preserve"> mindmáig ható emlékei és a kárpótlás sikertelensége miatt a tulajdonosok ragaszkodnak a megszerzett birtokhoz, ezen kívül sokan várják a földpiaci liberalizációval emelkedő földárakat, ami mind-mind az intézkedés sikere ellen hatott. További problémát jelentett a gazd</w:t>
      </w:r>
      <w:r w:rsidRPr="00F64639">
        <w:t>a</w:t>
      </w:r>
      <w:r w:rsidRPr="00F64639">
        <w:t>ságá</w:t>
      </w:r>
      <w:r w:rsidR="00C14BE4" w:rsidRPr="00F64639">
        <w:t>tadást terhelő illeték mértéke, illetve az, hogy jogosultsági feltételként tíz év folyamatos mezőgazdasági tevékenységet kellett igazolni.</w:t>
      </w:r>
    </w:p>
    <w:p w:rsidR="001516A4" w:rsidRPr="00F64639" w:rsidRDefault="0002094A" w:rsidP="001516A4">
      <w:pPr>
        <w:pStyle w:val="HUNNormal"/>
        <w:tabs>
          <w:tab w:val="left" w:pos="709"/>
        </w:tabs>
      </w:pPr>
      <w:r w:rsidRPr="00F64639">
        <w:t>A</w:t>
      </w:r>
      <w:r w:rsidR="001516A4" w:rsidRPr="00F64639">
        <w:t xml:space="preserve"> konstrukció felszínre hozott néhány olyan problémát, amelyek orvoslása fontos a </w:t>
      </w:r>
      <w:r w:rsidRPr="00F64639">
        <w:t>további meghirdetések esetén:</w:t>
      </w:r>
    </w:p>
    <w:p w:rsidR="001516A4" w:rsidRPr="00F64639" w:rsidRDefault="001516A4" w:rsidP="00DF4BBF">
      <w:pPr>
        <w:pStyle w:val="HUNNormal"/>
        <w:numPr>
          <w:ilvl w:val="0"/>
          <w:numId w:val="14"/>
        </w:numPr>
        <w:tabs>
          <w:tab w:val="left" w:pos="709"/>
        </w:tabs>
      </w:pPr>
      <w:r w:rsidRPr="00F64639">
        <w:t>a földhasználati nyilvántartás pontatlan, nem naprakész, megbízhatatlan, ezért nehezen volt össz</w:t>
      </w:r>
      <w:r w:rsidRPr="00F64639">
        <w:t>e</w:t>
      </w:r>
      <w:r w:rsidRPr="00F64639">
        <w:t>vethető a földalapú támogatással és a tulajdoni nyilvántartással;</w:t>
      </w:r>
    </w:p>
    <w:p w:rsidR="001516A4" w:rsidRPr="00F64639" w:rsidRDefault="001516A4" w:rsidP="00DF4BBF">
      <w:pPr>
        <w:pStyle w:val="HUNNormal"/>
        <w:numPr>
          <w:ilvl w:val="0"/>
          <w:numId w:val="14"/>
        </w:numPr>
        <w:tabs>
          <w:tab w:val="left" w:pos="709"/>
        </w:tabs>
      </w:pPr>
      <w:r w:rsidRPr="00F64639">
        <w:t>az állatátadást sújtó illetékteher nagyrészt kiteszi az</w:t>
      </w:r>
      <w:r w:rsidR="002D748A" w:rsidRPr="00F64639">
        <w:t xml:space="preserve"> elnyerhető támogatási összeget</w:t>
      </w:r>
      <w:r w:rsidR="00941F18" w:rsidRPr="00F64639">
        <w:t xml:space="preserve"> (ezt a probl</w:t>
      </w:r>
      <w:r w:rsidR="00941F18" w:rsidRPr="00F64639">
        <w:t>é</w:t>
      </w:r>
      <w:r w:rsidR="00941F18" w:rsidRPr="00F64639">
        <w:t>mát egy 2010-es törvényváltozás már kezelte)</w:t>
      </w:r>
      <w:r w:rsidR="002D748A" w:rsidRPr="00F64639">
        <w:t>;</w:t>
      </w:r>
    </w:p>
    <w:p w:rsidR="001516A4" w:rsidRPr="00F64639" w:rsidRDefault="001516A4" w:rsidP="00DF4BBF">
      <w:pPr>
        <w:pStyle w:val="HUNNormal"/>
        <w:numPr>
          <w:ilvl w:val="0"/>
          <w:numId w:val="14"/>
        </w:numPr>
        <w:tabs>
          <w:tab w:val="left" w:pos="709"/>
        </w:tabs>
      </w:pPr>
      <w:r w:rsidRPr="00F64639">
        <w:t>nem tisztázott a járadék SZJA és TB kötelezettsége, a hivatali környezet az ügyfélre hárította ennek tisztázását.</w:t>
      </w:r>
    </w:p>
    <w:p w:rsidR="008B0DC6" w:rsidRDefault="00574F65" w:rsidP="001516A4">
      <w:pPr>
        <w:pStyle w:val="HUNNormal"/>
        <w:tabs>
          <w:tab w:val="left" w:pos="709"/>
        </w:tabs>
      </w:pPr>
      <w:r w:rsidRPr="00F64639">
        <w:t xml:space="preserve">Valószínűsíthető, hogy több esetben apa adta át gyerekének, rokonának </w:t>
      </w:r>
      <w:r w:rsidR="00A32196" w:rsidRPr="00F64639">
        <w:t xml:space="preserve">a </w:t>
      </w:r>
      <w:r w:rsidRPr="00F64639">
        <w:t>birtokot, így a kor- és birtoksze</w:t>
      </w:r>
      <w:r w:rsidRPr="00F64639">
        <w:t>r</w:t>
      </w:r>
      <w:r w:rsidRPr="00F64639">
        <w:t>kezetre gyakorolt hatás is megkérdőjelezhető.</w:t>
      </w:r>
    </w:p>
    <w:p w:rsidR="00607641" w:rsidRPr="00F64639" w:rsidRDefault="00607641" w:rsidP="001516A4">
      <w:pPr>
        <w:pStyle w:val="HUNNormal"/>
        <w:tabs>
          <w:tab w:val="left" w:pos="709"/>
        </w:tabs>
      </w:pPr>
      <w:r>
        <w:t xml:space="preserve">Az </w:t>
      </w:r>
      <w:proofErr w:type="spellStart"/>
      <w:r>
        <w:t>Agrya</w:t>
      </w:r>
      <w:proofErr w:type="spellEnd"/>
      <w:r>
        <w:t xml:space="preserve"> Fiatal Gazdák Magyarországi Szövetsége szerint </w:t>
      </w:r>
      <w:r w:rsidRPr="00607641">
        <w:t>a jelentős aluligénylés legfőbb okai a túl szigorúan meghatározott jogosultsági feltételek, az elnyerhető támogatás kalkulációja, illetve az átadással járó adm</w:t>
      </w:r>
      <w:r w:rsidRPr="00607641">
        <w:t>i</w:t>
      </w:r>
      <w:r w:rsidRPr="00607641">
        <w:t>nisztrációs teher, a nem me</w:t>
      </w:r>
      <w:r>
        <w:t>gfelelően kidolgozott részletek voltak.</w:t>
      </w:r>
    </w:p>
    <w:p w:rsidR="00390072" w:rsidRPr="00F64639" w:rsidRDefault="001516A4" w:rsidP="001516A4">
      <w:pPr>
        <w:pStyle w:val="HUNNormal"/>
        <w:tabs>
          <w:tab w:val="left" w:pos="709"/>
        </w:tabs>
      </w:pPr>
      <w:r w:rsidRPr="00F64639">
        <w:t xml:space="preserve">Fontos tanulság az is, hogy a kis létszámú </w:t>
      </w:r>
      <w:proofErr w:type="spellStart"/>
      <w:r w:rsidRPr="00F64639">
        <w:t>kedvezményezetti</w:t>
      </w:r>
      <w:proofErr w:type="spellEnd"/>
      <w:r w:rsidRPr="00F64639">
        <w:t xml:space="preserve"> kör miatt kialakult papír alapú pályázatkezelés ebben a konstrukcióban sokkal emberibb arcú, rugalmasabb, segítőkészebb </w:t>
      </w:r>
      <w:proofErr w:type="spellStart"/>
      <w:r w:rsidRPr="00F64639">
        <w:t>MVH-t</w:t>
      </w:r>
      <w:proofErr w:type="spellEnd"/>
      <w:r w:rsidRPr="00F64639">
        <w:t xml:space="preserve"> mutatott: sokszor póto</w:t>
      </w:r>
      <w:r w:rsidRPr="00F64639">
        <w:t>l</w:t>
      </w:r>
      <w:r w:rsidRPr="00F64639">
        <w:t>ták a hiányzó szaktanácsadást és az ügyfél figyelmeztetésével, tanácsadással proaktívan megelőzték a re</w:t>
      </w:r>
      <w:r w:rsidRPr="00F64639">
        <w:t>n</w:t>
      </w:r>
      <w:r w:rsidRPr="00F64639">
        <w:t>delet visszásságaiból eredően jelentkező adminisztratív válsághelyzeteket.</w:t>
      </w:r>
    </w:p>
    <w:p w:rsidR="004F56B8" w:rsidRDefault="004F56B8" w:rsidP="001516A4">
      <w:pPr>
        <w:pStyle w:val="HUNNormal"/>
        <w:tabs>
          <w:tab w:val="left" w:pos="709"/>
        </w:tabs>
      </w:pPr>
    </w:p>
    <w:p w:rsidR="00607641" w:rsidRPr="00F64639" w:rsidRDefault="00607641" w:rsidP="001516A4">
      <w:pPr>
        <w:pStyle w:val="HUNNormal"/>
        <w:tabs>
          <w:tab w:val="left" w:pos="709"/>
        </w:tabs>
      </w:pPr>
    </w:p>
    <w:p w:rsidR="00BA3419" w:rsidRPr="00F64639" w:rsidRDefault="00264639" w:rsidP="00E60698">
      <w:pPr>
        <w:pStyle w:val="HUNHeading3"/>
        <w:ind w:left="851" w:hanging="851"/>
      </w:pPr>
      <w:bookmarkStart w:id="7" w:name="_Toc280786850"/>
      <w:r w:rsidRPr="00F64639">
        <w:lastRenderedPageBreak/>
        <w:t>Szaktanácsadói</w:t>
      </w:r>
      <w:r w:rsidR="00BA3419" w:rsidRPr="00F64639">
        <w:t xml:space="preserve"> szolgáltatások igénybevétele (114. intézkedés)</w:t>
      </w:r>
      <w:bookmarkEnd w:id="7"/>
    </w:p>
    <w:p w:rsidR="00302E0C" w:rsidRPr="00F64639" w:rsidRDefault="00AA06E1" w:rsidP="006A14D3">
      <w:pPr>
        <w:pStyle w:val="HUNNormal"/>
        <w:tabs>
          <w:tab w:val="left" w:pos="709"/>
        </w:tabs>
      </w:pPr>
      <w:r w:rsidRPr="00F64639">
        <w:t xml:space="preserve">A mezőgazdasági termelők és erdőgazdálkodók részére nyújtott szaktanácsadás intézkedés célja a </w:t>
      </w:r>
      <w:r w:rsidRPr="00F64639">
        <w:rPr>
          <w:b/>
        </w:rPr>
        <w:t>kölcs</w:t>
      </w:r>
      <w:r w:rsidRPr="00F64639">
        <w:rPr>
          <w:b/>
        </w:rPr>
        <w:t>ö</w:t>
      </w:r>
      <w:r w:rsidRPr="00F64639">
        <w:rPr>
          <w:b/>
        </w:rPr>
        <w:t>nös</w:t>
      </w:r>
      <w:r w:rsidRPr="00F64639">
        <w:t xml:space="preserve"> </w:t>
      </w:r>
      <w:r w:rsidRPr="00F64639">
        <w:rPr>
          <w:b/>
        </w:rPr>
        <w:t>megfeleltetés</w:t>
      </w:r>
      <w:r w:rsidRPr="00F64639">
        <w:t xml:space="preserve"> előírásai </w:t>
      </w:r>
      <w:r w:rsidR="00F07FA0" w:rsidRPr="00F64639">
        <w:t xml:space="preserve">(„a” célterület) </w:t>
      </w:r>
      <w:r w:rsidRPr="00F64639">
        <w:t xml:space="preserve">és a </w:t>
      </w:r>
      <w:r w:rsidRPr="00F64639">
        <w:rPr>
          <w:b/>
        </w:rPr>
        <w:t>munkahelyi</w:t>
      </w:r>
      <w:r w:rsidRPr="00F64639">
        <w:t xml:space="preserve"> </w:t>
      </w:r>
      <w:r w:rsidRPr="00F64639">
        <w:rPr>
          <w:b/>
        </w:rPr>
        <w:t>biztonsági</w:t>
      </w:r>
      <w:r w:rsidRPr="00F64639">
        <w:t xml:space="preserve"> előírások betartatásának elősegítése</w:t>
      </w:r>
      <w:r w:rsidR="00F07FA0" w:rsidRPr="00F64639">
        <w:t xml:space="preserve"> („b” célterület)</w:t>
      </w:r>
      <w:r w:rsidRPr="00F64639">
        <w:t xml:space="preserve">, továbbá az </w:t>
      </w:r>
      <w:r w:rsidRPr="00F64639">
        <w:rPr>
          <w:b/>
        </w:rPr>
        <w:t>agrárgazdaság</w:t>
      </w:r>
      <w:r w:rsidRPr="00F64639">
        <w:t xml:space="preserve"> </w:t>
      </w:r>
      <w:r w:rsidRPr="00F64639">
        <w:rPr>
          <w:b/>
        </w:rPr>
        <w:t>összteljesítményének</w:t>
      </w:r>
      <w:r w:rsidRPr="00F64639">
        <w:t xml:space="preserve"> növelése</w:t>
      </w:r>
      <w:r w:rsidR="00F07FA0" w:rsidRPr="00F64639">
        <w:t xml:space="preserve"> („c” célterület)</w:t>
      </w:r>
      <w:r w:rsidRPr="00F64639">
        <w:t>. Az intézkedés keretén belül egyetlen jogcím nyílt meg 2007-ben (52/2007. (VI.28.) FVM rendelet</w:t>
      </w:r>
      <w:r w:rsidR="004D1D28">
        <w:t>)</w:t>
      </w:r>
      <w:r w:rsidRPr="00F64639">
        <w:t>.</w:t>
      </w:r>
    </w:p>
    <w:p w:rsidR="009035F8" w:rsidRPr="00F64639" w:rsidRDefault="009035F8" w:rsidP="006A14D3">
      <w:pPr>
        <w:pStyle w:val="HUNNormal"/>
        <w:tabs>
          <w:tab w:val="left" w:pos="709"/>
        </w:tabs>
      </w:pPr>
      <w:r w:rsidRPr="00F64639">
        <w:t xml:space="preserve">Az intézkedés eredetileg évente, legfeljebb 1500 </w:t>
      </w:r>
      <w:r w:rsidR="0022006B" w:rsidRPr="00F64639">
        <w:t>EUR</w:t>
      </w:r>
      <w:r w:rsidRPr="00F64639">
        <w:t xml:space="preserve"> értékű támogatást nyújtott volna a végső kedvezm</w:t>
      </w:r>
      <w:r w:rsidRPr="00F64639">
        <w:t>é</w:t>
      </w:r>
      <w:r w:rsidRPr="00F64639">
        <w:t>nyezetteknek (hasonlóan, mint például a cseheknél vagy az észteknél), azonban az EU Bizottság hazánknak nem engedélyezte ezt az összeget, így jelenleg a teljes programozási időszakra</w:t>
      </w:r>
      <w:r w:rsidR="00F41876" w:rsidRPr="00F64639">
        <w:t xml:space="preserve"> legfeljebb 1500 </w:t>
      </w:r>
      <w:r w:rsidR="0022006B" w:rsidRPr="00F64639">
        <w:t>EUR</w:t>
      </w:r>
      <w:r w:rsidR="00F41876" w:rsidRPr="00F64639">
        <w:t xml:space="preserve"> támog</w:t>
      </w:r>
      <w:r w:rsidR="00F41876" w:rsidRPr="00F64639">
        <w:t>a</w:t>
      </w:r>
      <w:r w:rsidR="001B5E31" w:rsidRPr="00F64639">
        <w:t>tást kaphat egy kedvezményezett, és legfeljebb 3 alkalommal veheti igénybe a támogatott szaktanácsadást.</w:t>
      </w:r>
    </w:p>
    <w:p w:rsidR="00551E2B" w:rsidRPr="00F64639" w:rsidRDefault="00551E2B" w:rsidP="006A14D3">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20"/>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677691"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677691" w:rsidRPr="00F64639" w:rsidRDefault="00677691"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677691" w:rsidRPr="00F64639" w:rsidRDefault="005B3ABA" w:rsidP="000B0E4C">
            <w:pPr>
              <w:jc w:val="both"/>
              <w:rPr>
                <w:b/>
                <w:bCs/>
                <w:iCs/>
                <w:color w:val="FFFFFF"/>
                <w:szCs w:val="22"/>
              </w:rPr>
            </w:pPr>
            <w:r w:rsidRPr="00F64639">
              <w:rPr>
                <w:b/>
                <w:bCs/>
                <w:iCs/>
                <w:color w:val="FFFFFF"/>
                <w:szCs w:val="22"/>
              </w:rPr>
              <w:t>Szaktanácsadás</w:t>
            </w:r>
          </w:p>
        </w:tc>
      </w:tr>
      <w:tr w:rsidR="00677691"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677691" w:rsidRPr="00F64639" w:rsidRDefault="00677691" w:rsidP="000B0E4C">
            <w:pPr>
              <w:jc w:val="both"/>
              <w:rPr>
                <w:b/>
                <w:bCs/>
                <w:iCs/>
                <w:color w:val="FFFFFF"/>
                <w:szCs w:val="22"/>
              </w:rPr>
            </w:pPr>
            <w:r w:rsidRPr="00F64639">
              <w:rPr>
                <w:b/>
                <w:bCs/>
                <w:iCs/>
                <w:color w:val="FFFFFF"/>
                <w:szCs w:val="22"/>
              </w:rPr>
              <w:t>Indikatív keret</w:t>
            </w:r>
            <w:r w:rsidRPr="00F64639">
              <w:rPr>
                <w:rStyle w:val="FootnoteReference"/>
                <w:b/>
                <w:bCs/>
                <w:iCs/>
                <w:color w:val="FFFFFF"/>
                <w:szCs w:val="22"/>
              </w:rPr>
              <w:footnoteReference w:id="21"/>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677691" w:rsidRPr="00F64639" w:rsidRDefault="005B3ABA" w:rsidP="000B0E4C">
            <w:pPr>
              <w:jc w:val="center"/>
              <w:rPr>
                <w:rFonts w:cs="Arial"/>
                <w:sz w:val="18"/>
                <w:szCs w:val="18"/>
              </w:rPr>
            </w:pPr>
            <w:r w:rsidRPr="00F64639">
              <w:rPr>
                <w:iCs/>
                <w:szCs w:val="22"/>
              </w:rPr>
              <w:t xml:space="preserve">15 233 969 </w:t>
            </w:r>
            <w:r w:rsidR="0022006B" w:rsidRPr="00F64639">
              <w:rPr>
                <w:iCs/>
                <w:szCs w:val="22"/>
              </w:rPr>
              <w:t>EUR</w:t>
            </w:r>
          </w:p>
        </w:tc>
      </w:tr>
      <w:tr w:rsidR="00677691" w:rsidRPr="00F64639" w:rsidTr="000B0E4C">
        <w:tc>
          <w:tcPr>
            <w:tcW w:w="2778" w:type="pct"/>
            <w:tcBorders>
              <w:left w:val="single" w:sz="8" w:space="0" w:color="FFFFFF"/>
              <w:bottom w:val="nil"/>
              <w:right w:val="single" w:sz="24" w:space="0" w:color="FFFFFF"/>
            </w:tcBorders>
            <w:shd w:val="clear" w:color="auto" w:fill="C0504D"/>
          </w:tcPr>
          <w:p w:rsidR="00677691" w:rsidRPr="00F64639" w:rsidRDefault="00677691" w:rsidP="000B0E4C">
            <w:pPr>
              <w:jc w:val="both"/>
              <w:rPr>
                <w:b/>
                <w:bCs/>
                <w:iCs/>
                <w:color w:val="FFFFFF"/>
                <w:szCs w:val="22"/>
              </w:rPr>
            </w:pPr>
            <w:r w:rsidRPr="00F64639">
              <w:rPr>
                <w:b/>
                <w:bCs/>
                <w:iCs/>
                <w:color w:val="FFFFFF"/>
                <w:szCs w:val="22"/>
              </w:rPr>
              <w:t>Kedvezményezettek száma</w:t>
            </w:r>
            <w:r w:rsidR="0068313A" w:rsidRPr="00F64639">
              <w:rPr>
                <w:b/>
                <w:bCs/>
                <w:iCs/>
                <w:color w:val="FFFFFF"/>
                <w:szCs w:val="22"/>
              </w:rPr>
              <w:t xml:space="preserve"> (</w:t>
            </w:r>
            <w:r w:rsidR="0068313A" w:rsidRPr="00F64639">
              <w:rPr>
                <w:b/>
                <w:bCs/>
                <w:i/>
                <w:iCs/>
                <w:color w:val="FFFFFF"/>
                <w:szCs w:val="22"/>
              </w:rPr>
              <w:t>regisztrációs szám alapján</w:t>
            </w:r>
            <w:r w:rsidR="0068313A" w:rsidRPr="00F64639">
              <w:rPr>
                <w:b/>
                <w:bCs/>
                <w:iCs/>
                <w:color w:val="FFFFFF"/>
                <w:szCs w:val="22"/>
              </w:rPr>
              <w:t>)</w:t>
            </w:r>
          </w:p>
        </w:tc>
        <w:tc>
          <w:tcPr>
            <w:tcW w:w="2222" w:type="pct"/>
            <w:shd w:val="clear" w:color="auto" w:fill="EFD3D2"/>
          </w:tcPr>
          <w:p w:rsidR="00677691" w:rsidRPr="00F64639" w:rsidRDefault="00F056DF" w:rsidP="000B0E4C">
            <w:pPr>
              <w:jc w:val="center"/>
              <w:rPr>
                <w:iCs/>
                <w:szCs w:val="22"/>
              </w:rPr>
            </w:pPr>
            <w:r w:rsidRPr="00F64639">
              <w:rPr>
                <w:iCs/>
                <w:szCs w:val="22"/>
              </w:rPr>
              <w:t>1</w:t>
            </w:r>
            <w:r w:rsidR="0068313A" w:rsidRPr="00F64639">
              <w:rPr>
                <w:iCs/>
                <w:szCs w:val="22"/>
              </w:rPr>
              <w:t>2</w:t>
            </w:r>
            <w:r w:rsidRPr="00F64639">
              <w:rPr>
                <w:iCs/>
                <w:szCs w:val="22"/>
              </w:rPr>
              <w:t> 0</w:t>
            </w:r>
            <w:r w:rsidR="0068313A" w:rsidRPr="00F64639">
              <w:rPr>
                <w:iCs/>
                <w:szCs w:val="22"/>
              </w:rPr>
              <w:t>04</w:t>
            </w:r>
            <w:r w:rsidR="00677691" w:rsidRPr="00F64639">
              <w:rPr>
                <w:iCs/>
                <w:szCs w:val="22"/>
              </w:rPr>
              <w:t xml:space="preserve"> db</w:t>
            </w:r>
          </w:p>
        </w:tc>
      </w:tr>
      <w:tr w:rsidR="00677691"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677691" w:rsidRPr="00F64639" w:rsidRDefault="00677691"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677691" w:rsidRPr="00F64639" w:rsidRDefault="00F056DF" w:rsidP="000B0E4C">
            <w:pPr>
              <w:jc w:val="center"/>
              <w:rPr>
                <w:iCs/>
                <w:szCs w:val="22"/>
              </w:rPr>
            </w:pPr>
            <w:r w:rsidRPr="00F64639">
              <w:rPr>
                <w:iCs/>
                <w:szCs w:val="22"/>
              </w:rPr>
              <w:t>16 069 db</w:t>
            </w:r>
          </w:p>
        </w:tc>
      </w:tr>
      <w:tr w:rsidR="00F056DF" w:rsidRPr="00F64639" w:rsidTr="000B0E4C">
        <w:tc>
          <w:tcPr>
            <w:tcW w:w="2778" w:type="pct"/>
            <w:tcBorders>
              <w:left w:val="single" w:sz="8" w:space="0" w:color="FFFFFF"/>
              <w:bottom w:val="nil"/>
              <w:right w:val="single" w:sz="24" w:space="0" w:color="FFFFFF"/>
            </w:tcBorders>
            <w:shd w:val="clear" w:color="auto" w:fill="C0504D"/>
          </w:tcPr>
          <w:p w:rsidR="00F056DF" w:rsidRPr="00F64639" w:rsidRDefault="00F056DF"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F056DF" w:rsidRPr="00F64639" w:rsidRDefault="00F056DF" w:rsidP="000B0E4C">
            <w:pPr>
              <w:jc w:val="center"/>
              <w:rPr>
                <w:iCs/>
                <w:szCs w:val="22"/>
              </w:rPr>
            </w:pPr>
            <w:r w:rsidRPr="00F64639">
              <w:rPr>
                <w:iCs/>
                <w:szCs w:val="22"/>
              </w:rPr>
              <w:t>15 068 db</w:t>
            </w:r>
          </w:p>
        </w:tc>
      </w:tr>
      <w:tr w:rsidR="00677691"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677691" w:rsidRPr="00F64639" w:rsidRDefault="00677691"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677691" w:rsidRPr="00F64639" w:rsidRDefault="00F056DF" w:rsidP="000B0E4C">
            <w:pPr>
              <w:jc w:val="center"/>
              <w:rPr>
                <w:iCs/>
                <w:szCs w:val="22"/>
              </w:rPr>
            </w:pPr>
            <w:r w:rsidRPr="00F64639">
              <w:rPr>
                <w:iCs/>
                <w:szCs w:val="22"/>
              </w:rPr>
              <w:t>1 867 991 357 Ft</w:t>
            </w:r>
            <w:r w:rsidR="00742316" w:rsidRPr="00F64639">
              <w:rPr>
                <w:rStyle w:val="FootnoteReference"/>
                <w:iCs/>
                <w:szCs w:val="22"/>
              </w:rPr>
              <w:footnoteReference w:id="22"/>
            </w:r>
          </w:p>
        </w:tc>
      </w:tr>
      <w:tr w:rsidR="00677691" w:rsidRPr="00F64639" w:rsidTr="000B0E4C">
        <w:tc>
          <w:tcPr>
            <w:tcW w:w="2778" w:type="pct"/>
            <w:tcBorders>
              <w:left w:val="single" w:sz="8" w:space="0" w:color="FFFFFF"/>
              <w:right w:val="single" w:sz="24" w:space="0" w:color="FFFFFF"/>
            </w:tcBorders>
            <w:shd w:val="clear" w:color="auto" w:fill="C0504D"/>
          </w:tcPr>
          <w:p w:rsidR="00677691" w:rsidRPr="00F64639" w:rsidRDefault="00677691"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677691" w:rsidRPr="00F64639" w:rsidRDefault="00212838" w:rsidP="00A83110">
            <w:pPr>
              <w:jc w:val="center"/>
              <w:rPr>
                <w:iCs/>
                <w:szCs w:val="22"/>
              </w:rPr>
            </w:pPr>
            <w:r w:rsidRPr="00F64639">
              <w:rPr>
                <w:iCs/>
                <w:szCs w:val="22"/>
              </w:rPr>
              <w:t xml:space="preserve">4 628 389 </w:t>
            </w:r>
            <w:r w:rsidR="00A83110" w:rsidRPr="00F64639">
              <w:rPr>
                <w:iCs/>
                <w:szCs w:val="22"/>
              </w:rPr>
              <w:t>EUR</w:t>
            </w:r>
            <w:r w:rsidRPr="00F64639">
              <w:rPr>
                <w:rStyle w:val="FootnoteReference"/>
                <w:iCs/>
                <w:szCs w:val="22"/>
              </w:rPr>
              <w:footnoteReference w:id="23"/>
            </w:r>
            <w:r w:rsidR="00A83110" w:rsidRPr="00F64639">
              <w:rPr>
                <w:iCs/>
                <w:szCs w:val="22"/>
              </w:rPr>
              <w:t xml:space="preserve"> (1 259 384 522 Ft)</w:t>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4</w:t>
      </w:r>
      <w:r w:rsidRPr="00F64639">
        <w:rPr>
          <w:color w:val="auto"/>
        </w:rPr>
        <w:fldChar w:fldCharType="end"/>
      </w:r>
      <w:r w:rsidR="00AB435B" w:rsidRPr="00F64639">
        <w:rPr>
          <w:color w:val="auto"/>
        </w:rPr>
        <w:t>. táblázat: A jogcím általános jellemzői</w:t>
      </w:r>
    </w:p>
    <w:p w:rsidR="00677691" w:rsidRPr="00F64639" w:rsidRDefault="00723A8E" w:rsidP="006A14D3">
      <w:pPr>
        <w:pStyle w:val="HUNNormal"/>
        <w:tabs>
          <w:tab w:val="left" w:pos="709"/>
        </w:tabs>
        <w:rPr>
          <w:b/>
        </w:rPr>
      </w:pPr>
      <w:r w:rsidRPr="00F64639">
        <w:rPr>
          <w:b/>
        </w:rPr>
        <w:t>A támogatás</w:t>
      </w:r>
      <w:r w:rsidR="00F44488" w:rsidRPr="00F64639">
        <w:rPr>
          <w:b/>
        </w:rPr>
        <w:t xml:space="preserve">ra </w:t>
      </w:r>
      <w:r w:rsidRPr="00F64639">
        <w:rPr>
          <w:b/>
        </w:rPr>
        <w:t>mezőgazdasági termelő</w:t>
      </w:r>
      <w:r w:rsidR="00481655" w:rsidRPr="00F64639">
        <w:rPr>
          <w:b/>
        </w:rPr>
        <w:t>k</w:t>
      </w:r>
      <w:r w:rsidRPr="00F64639">
        <w:rPr>
          <w:b/>
        </w:rPr>
        <w:t>, erdőgazdálkodó</w:t>
      </w:r>
      <w:r w:rsidR="00481655" w:rsidRPr="00F64639">
        <w:rPr>
          <w:b/>
        </w:rPr>
        <w:t>k</w:t>
      </w:r>
      <w:r w:rsidRPr="00F64639">
        <w:rPr>
          <w:b/>
        </w:rPr>
        <w:t>, kertészeti termelő</w:t>
      </w:r>
      <w:r w:rsidR="00481655" w:rsidRPr="00F64639">
        <w:rPr>
          <w:b/>
        </w:rPr>
        <w:t>k</w:t>
      </w:r>
      <w:r w:rsidRPr="00F64639">
        <w:rPr>
          <w:b/>
        </w:rPr>
        <w:t xml:space="preserve"> jelentkezhet</w:t>
      </w:r>
      <w:r w:rsidR="00481655" w:rsidRPr="00F64639">
        <w:rPr>
          <w:b/>
        </w:rPr>
        <w:t>nek</w:t>
      </w:r>
      <w:r w:rsidRPr="00F64639">
        <w:rPr>
          <w:b/>
        </w:rPr>
        <w:t>.</w:t>
      </w:r>
    </w:p>
    <w:p w:rsidR="00CD5E38" w:rsidRPr="00F64639" w:rsidRDefault="00551E2B" w:rsidP="00CD5E38">
      <w:pPr>
        <w:pStyle w:val="HUNNormal"/>
        <w:tabs>
          <w:tab w:val="left" w:pos="709"/>
        </w:tabs>
      </w:pPr>
      <w:r w:rsidRPr="00F64639">
        <w:t xml:space="preserve">A jogcímre 2010.06.30-ig </w:t>
      </w:r>
      <w:r w:rsidR="000A2A7C" w:rsidRPr="00F64639">
        <w:t>több mint</w:t>
      </w:r>
      <w:r w:rsidRPr="00F64639">
        <w:t xml:space="preserve"> 18 ezer támogatási kérelem érkezett be, melyek döntő többségében támogatást is nyertek. A pályázók a jogcímrendelet mellékle</w:t>
      </w:r>
      <w:r w:rsidR="00124AAB" w:rsidRPr="00F64639">
        <w:t>tében meghatározott sza</w:t>
      </w:r>
      <w:r w:rsidR="000A2A7C" w:rsidRPr="00F64639">
        <w:t>ktanácsadási</w:t>
      </w:r>
      <w:r w:rsidR="00124AAB" w:rsidRPr="00F64639">
        <w:t xml:space="preserve"> </w:t>
      </w:r>
      <w:r w:rsidR="0051135A">
        <w:t>szolgált</w:t>
      </w:r>
      <w:r w:rsidR="0051135A">
        <w:t>a</w:t>
      </w:r>
      <w:r w:rsidR="0051135A">
        <w:t>tások</w:t>
      </w:r>
      <w:r w:rsidR="00124AAB" w:rsidRPr="00F64639">
        <w:t xml:space="preserve"> díjának legfeljebb 80%-át igényelhetik vissza az ÚMVP terhére, utólagos</w:t>
      </w:r>
      <w:r w:rsidR="008C7DDE" w:rsidRPr="00F64639">
        <w:t xml:space="preserve"> elszámolással. A </w:t>
      </w:r>
      <w:r w:rsidR="000A2A7C" w:rsidRPr="00F64639">
        <w:t>tanácsadási szolgáltatások</w:t>
      </w:r>
      <w:r w:rsidR="00124AAB" w:rsidRPr="00F64639">
        <w:t xml:space="preserve"> megszervezését és lebonyolítását akkreditált szervezetek, ún. </w:t>
      </w:r>
      <w:proofErr w:type="spellStart"/>
      <w:r w:rsidR="00124AAB" w:rsidRPr="00F64639">
        <w:t>TSZK-k</w:t>
      </w:r>
      <w:proofErr w:type="spellEnd"/>
      <w:r w:rsidR="00124AAB" w:rsidRPr="00F64639">
        <w:t xml:space="preserve"> (T</w:t>
      </w:r>
      <w:r w:rsidR="001B5E31" w:rsidRPr="00F64639">
        <w:t>erületi</w:t>
      </w:r>
      <w:r w:rsidR="00124AAB" w:rsidRPr="00F64639">
        <w:t xml:space="preserve"> Szak</w:t>
      </w:r>
      <w:r w:rsidR="000A2A7C" w:rsidRPr="00F64639">
        <w:t>tanác</w:t>
      </w:r>
      <w:r w:rsidR="000A2A7C" w:rsidRPr="00F64639">
        <w:t>s</w:t>
      </w:r>
      <w:r w:rsidR="000A2A7C" w:rsidRPr="00F64639">
        <w:t>adási</w:t>
      </w:r>
      <w:r w:rsidR="00124AAB" w:rsidRPr="00F64639">
        <w:t xml:space="preserve"> Központ) végzik</w:t>
      </w:r>
      <w:r w:rsidR="003A000D" w:rsidRPr="00F64639">
        <w:rPr>
          <w:rStyle w:val="FootnoteReference"/>
        </w:rPr>
        <w:footnoteReference w:id="24"/>
      </w:r>
      <w:r w:rsidR="004F56B8" w:rsidRPr="00F64639">
        <w:t>.</w:t>
      </w:r>
      <w:r w:rsidR="00124AAB" w:rsidRPr="00F64639">
        <w:t xml:space="preserve"> </w:t>
      </w:r>
      <w:proofErr w:type="gramStart"/>
      <w:r w:rsidR="00124AAB" w:rsidRPr="00F64639">
        <w:t>A</w:t>
      </w:r>
      <w:proofErr w:type="gramEnd"/>
      <w:r w:rsidR="00124AAB" w:rsidRPr="00F64639">
        <w:t xml:space="preserve"> </w:t>
      </w:r>
      <w:r w:rsidR="000A2A7C" w:rsidRPr="00F64639">
        <w:t>szolgáltatások</w:t>
      </w:r>
      <w:r w:rsidR="00124AAB" w:rsidRPr="00F64639">
        <w:t xml:space="preserve"> szakmai koordinációját, valamint a támogatási és kifizetési kére</w:t>
      </w:r>
      <w:r w:rsidR="00124AAB" w:rsidRPr="00F64639">
        <w:t>l</w:t>
      </w:r>
      <w:r w:rsidR="00124AAB" w:rsidRPr="00F64639">
        <w:t xml:space="preserve">mek adminisztrációjának egy jelentős részét </w:t>
      </w:r>
      <w:r w:rsidR="008C7DDE" w:rsidRPr="00F64639">
        <w:t xml:space="preserve">a VKSZI látja el: az ügyfelek a </w:t>
      </w:r>
      <w:proofErr w:type="spellStart"/>
      <w:r w:rsidR="008C7DDE" w:rsidRPr="00F64639">
        <w:t>TSZK-k</w:t>
      </w:r>
      <w:proofErr w:type="spellEnd"/>
      <w:r w:rsidR="008C7DDE" w:rsidRPr="00F64639">
        <w:t xml:space="preserve"> segítségével a VKSZI i</w:t>
      </w:r>
      <w:r w:rsidR="008C7DDE" w:rsidRPr="00F64639">
        <w:t>n</w:t>
      </w:r>
      <w:r w:rsidR="008C7DDE" w:rsidRPr="00F64639">
        <w:t xml:space="preserve">formatikai </w:t>
      </w:r>
      <w:r w:rsidR="009B7850" w:rsidRPr="00F64639">
        <w:t>alkalmazásában</w:t>
      </w:r>
      <w:r w:rsidR="008C7DDE" w:rsidRPr="00F64639">
        <w:t xml:space="preserve"> </w:t>
      </w:r>
      <w:r w:rsidR="009B7850" w:rsidRPr="00F64639">
        <w:t>rögzítik</w:t>
      </w:r>
      <w:r w:rsidR="008C7DDE" w:rsidRPr="00F64639">
        <w:t xml:space="preserve"> támogatási és kifizetési kérelmeiket </w:t>
      </w:r>
      <w:r w:rsidR="00CD5E38" w:rsidRPr="00443672">
        <w:t>(amiből az adatok átadásra és az IIER mögé beépítésre kerülnek , ezzel se</w:t>
      </w:r>
      <w:r w:rsidR="00CD5E38" w:rsidRPr="00F64639">
        <w:t xml:space="preserve">gítve a rögzítői feladatok végrehajtását az </w:t>
      </w:r>
      <w:proofErr w:type="spellStart"/>
      <w:r w:rsidR="00CD5E38" w:rsidRPr="00F64639">
        <w:t>IIER-ben</w:t>
      </w:r>
      <w:proofErr w:type="spellEnd"/>
      <w:r w:rsidR="00CD5E38" w:rsidRPr="00F64639">
        <w:t>).</w:t>
      </w:r>
    </w:p>
    <w:p w:rsidR="00551E2B" w:rsidRPr="00F64639" w:rsidRDefault="009B7850" w:rsidP="006A14D3">
      <w:pPr>
        <w:pStyle w:val="HUNNormal"/>
        <w:tabs>
          <w:tab w:val="left" w:pos="709"/>
        </w:tabs>
      </w:pPr>
      <w:r w:rsidRPr="00F64639">
        <w:t>A jóváhagyott támogatási kérelmek többsége a nyugat-magyarországi megyékből érkezett (57%), ezek közül is kiemelkedő Zala megye (a jóváhagyott kérelmek 22%-</w:t>
      </w:r>
      <w:proofErr w:type="gramStart"/>
      <w:r w:rsidRPr="00F64639">
        <w:t>a</w:t>
      </w:r>
      <w:proofErr w:type="gramEnd"/>
      <w:r w:rsidRPr="00F64639">
        <w:t xml:space="preserve"> innen származik). </w:t>
      </w:r>
      <w:proofErr w:type="gramStart"/>
      <w:r w:rsidRPr="00F64639">
        <w:t xml:space="preserve">Az ország keleti feléből </w:t>
      </w:r>
      <w:r w:rsidR="005F1B22" w:rsidRPr="00F64639">
        <w:t>Sz</w:t>
      </w:r>
      <w:r w:rsidR="005F1B22" w:rsidRPr="00F64639">
        <w:t>a</w:t>
      </w:r>
      <w:r w:rsidR="005F1B22" w:rsidRPr="00F64639">
        <w:t>bolcs-Szatmár-Bereg megye volt a „legaktívabb” (10%), azonban innen származik a legkisebb érték is: Bo</w:t>
      </w:r>
      <w:r w:rsidR="005F1B22" w:rsidRPr="00F64639">
        <w:t>r</w:t>
      </w:r>
      <w:r w:rsidR="005F1B22" w:rsidRPr="00F64639">
        <w:lastRenderedPageBreak/>
        <w:t xml:space="preserve">sod-Abaúj-Zemplén megye a jóváhagyott kérelmek mindössze 1%-ával </w:t>
      </w:r>
      <w:r w:rsidR="003E24CC" w:rsidRPr="00F64639">
        <w:t>„</w:t>
      </w:r>
      <w:r w:rsidR="005F1B22" w:rsidRPr="00F64639">
        <w:t>büszkélkedhet</w:t>
      </w:r>
      <w:r w:rsidR="003E24CC" w:rsidRPr="00F64639">
        <w:t>”</w:t>
      </w:r>
      <w:r w:rsidR="005F1B22" w:rsidRPr="00F64639">
        <w:t>.</w:t>
      </w:r>
      <w:r w:rsidR="00AF79B3" w:rsidRPr="00F64639">
        <w:t xml:space="preserve"> Figyelemre méltó, hogy a megyei megoszlások átlaga alatti a medián érték (az előbbi 5%, az utóbbi 2%), ami jelzi, hogy a m</w:t>
      </w:r>
      <w:r w:rsidR="00AF79B3" w:rsidRPr="00F64639">
        <w:t>e</w:t>
      </w:r>
      <w:r w:rsidR="000A4AB8" w:rsidRPr="00F64639">
        <w:t>gyei</w:t>
      </w:r>
      <w:r w:rsidR="00AF79B3" w:rsidRPr="00F64639">
        <w:t xml:space="preserve"> megoszlás erősen koncentrált</w:t>
      </w:r>
      <w:r w:rsidR="000A4AB8" w:rsidRPr="00F64639">
        <w:t xml:space="preserve"> (Zala, a főváros és Pest megye, valamint Szabolcs-Szatmár-Bereg megye köti le az alapsokaság 45%-át!)</w:t>
      </w:r>
      <w:r w:rsidR="00AF79B3" w:rsidRPr="00F64639">
        <w:t>: a megyék fele jellemezően a jóváhagyott kérelmek kevesebb, mint 2%-ával rendelkezik.</w:t>
      </w:r>
      <w:proofErr w:type="gramEnd"/>
    </w:p>
    <w:p w:rsidR="005F1B22" w:rsidRPr="00F64639" w:rsidRDefault="00BC6365" w:rsidP="006A14D3">
      <w:pPr>
        <w:pStyle w:val="HUNNormal"/>
        <w:tabs>
          <w:tab w:val="left" w:pos="709"/>
        </w:tabs>
      </w:pPr>
      <w:r w:rsidRPr="00F64639">
        <w:t xml:space="preserve">Ami a jóváhagyott támogatási kérelmek ügyfél kategóriáját illeti, megállapítható, hogy </w:t>
      </w:r>
      <w:r w:rsidRPr="00F64639">
        <w:rPr>
          <w:b/>
        </w:rPr>
        <w:t>a támogatottak döntő többsége (84%) magánszemély.</w:t>
      </w:r>
      <w:r w:rsidRPr="00F64639">
        <w:t xml:space="preserve"> A szervezetek közül (16%) leginkább Kft-k, Bt-k és Szövetkezetek (ebből rendre 62%, 13%, 10%) nyertek támogatást, jellemzően a kis- és közepes vállalkozói körből (KKV arány 75%!). Nagyvállalat a szervezetek mindössze 9%-a volt (a teljes </w:t>
      </w:r>
      <w:proofErr w:type="spellStart"/>
      <w:r w:rsidRPr="00F64639">
        <w:t>támogatotti</w:t>
      </w:r>
      <w:proofErr w:type="spellEnd"/>
      <w:r w:rsidRPr="00F64639">
        <w:t xml:space="preserve"> sokaság alig 1,5%-a).</w:t>
      </w:r>
    </w:p>
    <w:p w:rsidR="005F1B22" w:rsidRPr="00F64639" w:rsidRDefault="00BD5747" w:rsidP="006A14D3">
      <w:pPr>
        <w:pStyle w:val="HUNNormal"/>
        <w:tabs>
          <w:tab w:val="left" w:pos="709"/>
        </w:tabs>
      </w:pPr>
      <w:r w:rsidRPr="00F64639">
        <w:t>A jogcímben támogatást nyert ügyfelek 60%-a hátrányos helyzetű, LLH, vagy komplex LHH kistérségből származik (LHH és komplex LHH összesen 29%).</w:t>
      </w:r>
    </w:p>
    <w:p w:rsidR="003727D4" w:rsidRPr="00F64639" w:rsidRDefault="003727D4" w:rsidP="003727D4">
      <w:pPr>
        <w:pStyle w:val="HUNNormal"/>
        <w:tabs>
          <w:tab w:val="left" w:pos="709"/>
        </w:tabs>
      </w:pPr>
      <w:r w:rsidRPr="00F64639">
        <w:t xml:space="preserve">Az </w:t>
      </w:r>
      <w:proofErr w:type="spellStart"/>
      <w:r w:rsidRPr="00F64639">
        <w:t>IIER-ben</w:t>
      </w:r>
      <w:proofErr w:type="spellEnd"/>
      <w:r w:rsidRPr="00F64639">
        <w:t xml:space="preserve"> található e-monitoring adatszolgáltatás</w:t>
      </w:r>
      <w:r w:rsidRPr="00F64639">
        <w:rPr>
          <w:rStyle w:val="FootnoteReference"/>
        </w:rPr>
        <w:footnoteReference w:id="25"/>
      </w:r>
      <w:r w:rsidRPr="00F64639">
        <w:t xml:space="preserve"> alapján megállapítható, hogy a 12 004 db támogatott kedvezményezett közül 11 287-en adtak be adatszolgáltatást</w:t>
      </w:r>
      <w:r w:rsidRPr="00F64639">
        <w:rPr>
          <w:rStyle w:val="FootnoteReference"/>
        </w:rPr>
        <w:footnoteReference w:id="26"/>
      </w:r>
      <w:r w:rsidRPr="00F64639">
        <w:t xml:space="preserve"> (94%-os visszajelzés!). Az adatszolgáltató kedvezményezettek életkori megoszlása nagyjából megfelel a </w:t>
      </w:r>
      <w:r w:rsidR="00204D57" w:rsidRPr="00F64639">
        <w:t>mezőgazdasági korszerkezetnek</w:t>
      </w:r>
      <w:r w:rsidRPr="00F64639">
        <w:t>: leginkább a 40-60 év közötti korosztály vett igénybe szaktanácsadási szolgáltatást (52%), míg a 20-40 és 60-80 év k</w:t>
      </w:r>
      <w:r w:rsidRPr="00F64639">
        <w:t>ö</w:t>
      </w:r>
      <w:r w:rsidRPr="00F64639">
        <w:t>zötti korosz</w:t>
      </w:r>
      <w:r w:rsidR="003E24CC" w:rsidRPr="00F64639">
        <w:t>tályok rendre 21% és 28</w:t>
      </w:r>
      <w:r w:rsidRPr="00F64639">
        <w:t xml:space="preserve">%-ot tesznek ki. </w:t>
      </w:r>
      <w:r w:rsidR="003E24CC" w:rsidRPr="00F64639">
        <w:t>A</w:t>
      </w:r>
      <w:r w:rsidRPr="00F64639">
        <w:t xml:space="preserve"> 20 év alatti korosztály 1,17%-os aránnyal, míg a 80 év fölötti korosztály 1,64%-os aránnyal képviselteti magát.</w:t>
      </w:r>
    </w:p>
    <w:p w:rsidR="003727D4" w:rsidRDefault="003727D4" w:rsidP="003727D4">
      <w:pPr>
        <w:pStyle w:val="HUNNormal"/>
        <w:tabs>
          <w:tab w:val="left" w:pos="709"/>
        </w:tabs>
      </w:pPr>
      <w:r w:rsidRPr="00F64639">
        <w:t xml:space="preserve">Az igénybe vett szaktanácsadási szolgáltatás típusára – bár az e-monitoring adatszolgáltatásban van erre vonatkozó adatmező – </w:t>
      </w:r>
      <w:r w:rsidR="00204D57" w:rsidRPr="00F64639">
        <w:t>az</w:t>
      </w:r>
      <w:r w:rsidRPr="00F64639">
        <w:t xml:space="preserve"> adatszolgáltatásból nem nyerhető ki érdemi információ, alapvetően adatrögzítési és adat konzisztencia problémák miatt). A </w:t>
      </w:r>
      <w:proofErr w:type="spellStart"/>
      <w:r w:rsidRPr="00F64639">
        <w:t>VKSZI-től</w:t>
      </w:r>
      <w:proofErr w:type="spellEnd"/>
      <w:r w:rsidRPr="00F64639">
        <w:t xml:space="preserve"> kapott adatok</w:t>
      </w:r>
      <w:r w:rsidRPr="00F64639">
        <w:rPr>
          <w:rStyle w:val="FootnoteReference"/>
        </w:rPr>
        <w:footnoteReference w:id="27"/>
      </w:r>
      <w:r w:rsidRPr="00F64639">
        <w:t xml:space="preserve"> alapján megállapítható, hogy a szakt</w:t>
      </w:r>
      <w:r w:rsidRPr="00F64639">
        <w:t>a</w:t>
      </w:r>
      <w:r w:rsidRPr="00F64639">
        <w:t>nácsadási szolgáltatáso</w:t>
      </w:r>
      <w:r w:rsidR="001B5E31" w:rsidRPr="00F64639">
        <w:t>kat döntő részben a mezőgazdasági termelők veszik</w:t>
      </w:r>
      <w:r w:rsidRPr="00F64639">
        <w:t xml:space="preserve"> igénybe (8</w:t>
      </w:r>
      <w:r w:rsidR="001B5E31" w:rsidRPr="00F64639">
        <w:t>2</w:t>
      </w:r>
      <w:r w:rsidRPr="00F64639">
        <w:t xml:space="preserve">%), a </w:t>
      </w:r>
      <w:r w:rsidR="001B5E31" w:rsidRPr="00F64639">
        <w:t xml:space="preserve">kertészek mindössze 10%-al, erdőgazdálkodók </w:t>
      </w:r>
      <w:r w:rsidRPr="00F64639">
        <w:t xml:space="preserve">pedig </w:t>
      </w:r>
      <w:r w:rsidR="001B5E31" w:rsidRPr="00F64639">
        <w:t>7</w:t>
      </w:r>
      <w:r w:rsidRPr="00F64639">
        <w:t>%-al részesednek. A szaktanácsadás témáját tekintve, a legje</w:t>
      </w:r>
      <w:r w:rsidRPr="00F64639">
        <w:t>l</w:t>
      </w:r>
      <w:r w:rsidRPr="00F64639">
        <w:t>lemzőbb szolgáltatás az agrárgazdálkodáshoz ka</w:t>
      </w:r>
      <w:r w:rsidR="00944A2E" w:rsidRPr="00F64639">
        <w:t>p</w:t>
      </w:r>
      <w:r w:rsidRPr="00F64639">
        <w:t xml:space="preserve">csolódó </w:t>
      </w:r>
      <w:proofErr w:type="gramStart"/>
      <w:r w:rsidRPr="00F64639">
        <w:t>szaktanácsadás</w:t>
      </w:r>
      <w:r w:rsidRPr="00F64639">
        <w:rPr>
          <w:rStyle w:val="FootnoteReference"/>
        </w:rPr>
        <w:footnoteReference w:id="28"/>
      </w:r>
      <w:r w:rsidRPr="00F64639">
        <w:t>,</w:t>
      </w:r>
      <w:proofErr w:type="gramEnd"/>
      <w:r w:rsidRPr="00F64639">
        <w:t xml:space="preserve"> míg általános üzemviteli t</w:t>
      </w:r>
      <w:r w:rsidRPr="00F64639">
        <w:t>a</w:t>
      </w:r>
      <w:r w:rsidRPr="00F64639">
        <w:t>nácsadás csak a tanácsadási szolgáltatások 9%-át tették ki. Figyelemre méltó, hogy a tanácsadási szolgált</w:t>
      </w:r>
      <w:r w:rsidRPr="00F64639">
        <w:t>a</w:t>
      </w:r>
      <w:r w:rsidRPr="00F64639">
        <w:t>tások 19%-</w:t>
      </w:r>
      <w:proofErr w:type="gramStart"/>
      <w:r w:rsidRPr="00F64639">
        <w:t>a</w:t>
      </w:r>
      <w:proofErr w:type="gramEnd"/>
      <w:r w:rsidRPr="00F64639">
        <w:t xml:space="preserve"> a pályázati rendszer, a pályázati lehetőségek bemutatására szolgált. A szaktanácsadási tém</w:t>
      </w:r>
      <w:r w:rsidRPr="00F64639">
        <w:t>a</w:t>
      </w:r>
      <w:r w:rsidRPr="00F64639">
        <w:t xml:space="preserve">körök között nem szerepelt az éghajlatváltozással </w:t>
      </w:r>
      <w:r w:rsidR="00DB4EB7">
        <w:t>kapcsolatos ismeretanyag.</w:t>
      </w:r>
    </w:p>
    <w:p w:rsidR="00301E88" w:rsidRPr="00F64639" w:rsidRDefault="00301E88" w:rsidP="003727D4">
      <w:pPr>
        <w:pStyle w:val="HUNNormal"/>
        <w:tabs>
          <w:tab w:val="left" w:pos="709"/>
        </w:tabs>
      </w:pPr>
    </w:p>
    <w:p w:rsidR="004F56B8" w:rsidRPr="00F64639" w:rsidRDefault="00264639" w:rsidP="003727D4">
      <w:pPr>
        <w:pStyle w:val="HUNNormal"/>
        <w:tabs>
          <w:tab w:val="left" w:pos="709"/>
        </w:tabs>
        <w:rPr>
          <w:b/>
        </w:rPr>
      </w:pPr>
      <w:r w:rsidRPr="00F64639">
        <w:rPr>
          <w:b/>
        </w:rPr>
        <w:t>Relevanciaelemzés</w:t>
      </w:r>
    </w:p>
    <w:p w:rsidR="00264639" w:rsidRPr="00F64639" w:rsidRDefault="00C94C2B" w:rsidP="003727D4">
      <w:pPr>
        <w:pStyle w:val="HUNNormal"/>
        <w:tabs>
          <w:tab w:val="left" w:pos="709"/>
        </w:tabs>
      </w:pPr>
      <w:r w:rsidRPr="00F64639">
        <w:t xml:space="preserve">A beavatkozás releváns az intézkedés céljai szempontjából. </w:t>
      </w:r>
      <w:r w:rsidR="000A1053" w:rsidRPr="00F64639">
        <w:t>Az output indikátor elérése ugyanakkor kéts</w:t>
      </w:r>
      <w:r w:rsidR="000A1053" w:rsidRPr="00F64639">
        <w:t>é</w:t>
      </w:r>
      <w:r w:rsidR="000A1053" w:rsidRPr="00F64639">
        <w:t>ges. Az ÚMVP 56.000 mezőgazdasági termelő támogatását tűzte ki célul</w:t>
      </w:r>
      <w:r w:rsidR="000658BD" w:rsidRPr="00F64639">
        <w:t>. A célszámot az eddig támogatott gazdálkodók száma 21%-ban teljesíti, miközben a forráslekötés 45%-os értéket ért el.</w:t>
      </w:r>
    </w:p>
    <w:p w:rsidR="000A1053" w:rsidRDefault="000A1053" w:rsidP="003727D4">
      <w:pPr>
        <w:pStyle w:val="HUNNormal"/>
        <w:tabs>
          <w:tab w:val="left" w:pos="709"/>
        </w:tabs>
      </w:pPr>
    </w:p>
    <w:p w:rsidR="00E60698" w:rsidRDefault="00E60698" w:rsidP="003727D4">
      <w:pPr>
        <w:pStyle w:val="HUNNormal"/>
        <w:tabs>
          <w:tab w:val="left" w:pos="709"/>
        </w:tabs>
      </w:pPr>
    </w:p>
    <w:p w:rsidR="00E60698" w:rsidRDefault="00E60698" w:rsidP="003727D4">
      <w:pPr>
        <w:pStyle w:val="HUNNormal"/>
        <w:tabs>
          <w:tab w:val="left" w:pos="709"/>
        </w:tabs>
      </w:pPr>
    </w:p>
    <w:p w:rsidR="00E60698" w:rsidRPr="00F64639" w:rsidRDefault="00E60698" w:rsidP="003727D4">
      <w:pPr>
        <w:pStyle w:val="HUNNormal"/>
        <w:tabs>
          <w:tab w:val="left" w:pos="709"/>
        </w:tabs>
      </w:pPr>
    </w:p>
    <w:p w:rsidR="003727D4" w:rsidRPr="00F64639" w:rsidRDefault="003727D4" w:rsidP="003727D4">
      <w:pPr>
        <w:pStyle w:val="HUNNormal"/>
        <w:tabs>
          <w:tab w:val="left" w:pos="709"/>
        </w:tabs>
        <w:rPr>
          <w:b/>
        </w:rPr>
      </w:pPr>
      <w:r w:rsidRPr="00F64639">
        <w:rPr>
          <w:b/>
        </w:rPr>
        <w:lastRenderedPageBreak/>
        <w:t>Hatáselemzés</w:t>
      </w:r>
    </w:p>
    <w:p w:rsidR="000D0B09" w:rsidRPr="00F64639" w:rsidRDefault="000D0B09" w:rsidP="003727D4">
      <w:pPr>
        <w:pStyle w:val="HUNNormal"/>
        <w:tabs>
          <w:tab w:val="left" w:pos="709"/>
        </w:tabs>
        <w:rPr>
          <w:b/>
        </w:rPr>
      </w:pPr>
      <w:r w:rsidRPr="00F64639">
        <w:rPr>
          <w:b/>
        </w:rPr>
        <w:t>Az intézkedéstől a gazdálkodási, ökológiai fenntarthatóság és a munkahelyi biztonság növekedését vártuk.</w:t>
      </w:r>
    </w:p>
    <w:p w:rsidR="00204D57" w:rsidRPr="00F64639" w:rsidRDefault="003727D4" w:rsidP="003727D4">
      <w:pPr>
        <w:pStyle w:val="HUNNormal"/>
        <w:tabs>
          <w:tab w:val="left" w:pos="709"/>
        </w:tabs>
      </w:pPr>
      <w:r w:rsidRPr="00F64639">
        <w:t xml:space="preserve">Az értékelés alapját képező elméleti hatásútvonalban </w:t>
      </w:r>
      <w:proofErr w:type="gramStart"/>
      <w:r w:rsidRPr="00F64639">
        <w:t>szereplő hatások</w:t>
      </w:r>
      <w:proofErr w:type="gramEnd"/>
      <w:r w:rsidRPr="00F64639">
        <w:t xml:space="preserve"> – meglátásunk szerint – jól leírják a jogcím beavatkozási logikáját. </w:t>
      </w:r>
    </w:p>
    <w:p w:rsidR="003727D4" w:rsidRPr="00F64639" w:rsidRDefault="003E24CC" w:rsidP="003727D4">
      <w:pPr>
        <w:pStyle w:val="HUNNormal"/>
        <w:tabs>
          <w:tab w:val="left" w:pos="709"/>
        </w:tabs>
      </w:pPr>
      <w:r w:rsidRPr="00F64639">
        <w:t>J</w:t>
      </w:r>
      <w:r w:rsidR="003727D4" w:rsidRPr="00F64639">
        <w:t xml:space="preserve">elenleg </w:t>
      </w:r>
      <w:r w:rsidR="00204D57" w:rsidRPr="00F64639">
        <w:t xml:space="preserve">még </w:t>
      </w:r>
      <w:r w:rsidRPr="00F64639">
        <w:t xml:space="preserve">csak </w:t>
      </w:r>
      <w:r w:rsidR="003727D4" w:rsidRPr="00F64639">
        <w:t>az eredmények mérése lehetséges, a rövid távú hatások visszamérésére a jelenlegi mon</w:t>
      </w:r>
      <w:r w:rsidR="003727D4" w:rsidRPr="00F64639">
        <w:t>i</w:t>
      </w:r>
      <w:r w:rsidR="003727D4" w:rsidRPr="00F64639">
        <w:t>toring adatszolgáltatás nem alkalmas, a közép- és hosszú távú hatások mérése pedig – az eltelt idő rövids</w:t>
      </w:r>
      <w:r w:rsidR="003727D4" w:rsidRPr="00F64639">
        <w:t>é</w:t>
      </w:r>
      <w:r w:rsidR="003727D4" w:rsidRPr="00F64639">
        <w:t>ge miatt – a félidős értékelés keretén belül nem volt lehetséges.</w:t>
      </w:r>
    </w:p>
    <w:p w:rsidR="004F56B8" w:rsidRPr="00F64639" w:rsidRDefault="004F56B8" w:rsidP="003727D4">
      <w:pPr>
        <w:pStyle w:val="HUNNormal"/>
        <w:tabs>
          <w:tab w:val="left" w:pos="709"/>
        </w:tabs>
      </w:pPr>
    </w:p>
    <w:p w:rsidR="00723A8E" w:rsidRPr="00F64639" w:rsidRDefault="00723A8E" w:rsidP="006A14D3">
      <w:pPr>
        <w:pStyle w:val="HUNNormal"/>
        <w:tabs>
          <w:tab w:val="left" w:pos="709"/>
        </w:tabs>
        <w:rPr>
          <w:b/>
        </w:rPr>
      </w:pPr>
      <w:r w:rsidRPr="00F64639">
        <w:rPr>
          <w:b/>
        </w:rPr>
        <w:t>Hatékonyságelemzés</w:t>
      </w:r>
    </w:p>
    <w:p w:rsidR="00A83110" w:rsidRPr="00F64639" w:rsidRDefault="00A83110" w:rsidP="00A83110">
      <w:pPr>
        <w:pStyle w:val="HUNNormal"/>
        <w:tabs>
          <w:tab w:val="left" w:pos="709"/>
        </w:tabs>
      </w:pPr>
      <w:r w:rsidRPr="00F64639">
        <w:t>Megemlítendő, hogy jelenleg tanácsadási szolgáltatást tematikájában részben átf</w:t>
      </w:r>
      <w:r w:rsidRPr="00F64639">
        <w:t>e</w:t>
      </w:r>
      <w:r w:rsidRPr="00F64639">
        <w:t>déssel nyújt a 111-es intézkedés „komplex tájékoztatás” jogcímében a Magyar Agrárkamara 200 kirendeltségből álló ügyfélszolg</w:t>
      </w:r>
      <w:r w:rsidRPr="00F64639">
        <w:t>á</w:t>
      </w:r>
      <w:r w:rsidRPr="00F64639">
        <w:t>lati hálózat</w:t>
      </w:r>
      <w:r w:rsidR="001B5E31" w:rsidRPr="00F64639">
        <w:t>a is</w:t>
      </w:r>
      <w:r w:rsidR="00E038E7">
        <w:t>, bár alapvetően más célcsoport számára</w:t>
      </w:r>
      <w:r w:rsidR="001B5E31" w:rsidRPr="00F64639">
        <w:t>.</w:t>
      </w:r>
      <w:r w:rsidRPr="00F64639">
        <w:t xml:space="preserve"> Az átfedés a támogatási rendszerrel kapcsolatos info</w:t>
      </w:r>
      <w:r w:rsidRPr="00F64639">
        <w:t>r</w:t>
      </w:r>
      <w:r w:rsidRPr="00F64639">
        <w:t xml:space="preserve">mációnyújtás területén </w:t>
      </w:r>
      <w:r w:rsidR="001B5E31" w:rsidRPr="00F64639">
        <w:t>tapasztalható</w:t>
      </w:r>
      <w:r w:rsidR="00481655" w:rsidRPr="00F64639">
        <w:t xml:space="preserve"> (ami ennek az intézkedésnek csak egyik, kétségkívül kisebb súlyú cé</w:t>
      </w:r>
      <w:r w:rsidR="00481655" w:rsidRPr="00F64639">
        <w:t>l</w:t>
      </w:r>
      <w:r w:rsidR="00481655" w:rsidRPr="00F64639">
        <w:t>ja)</w:t>
      </w:r>
      <w:r w:rsidRPr="00F64639">
        <w:t>.</w:t>
      </w:r>
    </w:p>
    <w:p w:rsidR="00BC6365" w:rsidRDefault="005E716C" w:rsidP="006A14D3">
      <w:pPr>
        <w:pStyle w:val="HUNNormal"/>
        <w:tabs>
          <w:tab w:val="left" w:pos="709"/>
        </w:tabs>
      </w:pPr>
      <w:r w:rsidRPr="00F64639">
        <w:t>A jogcím értékelése során mind az intézményrendszer</w:t>
      </w:r>
      <w:r w:rsidR="00A53764" w:rsidRPr="00F64639">
        <w:t xml:space="preserve"> szakértői</w:t>
      </w:r>
      <w:r w:rsidRPr="00F64639">
        <w:t>, mind a kedvezményezettek s</w:t>
      </w:r>
      <w:r w:rsidR="00A53764" w:rsidRPr="00F64639">
        <w:t>ok kritikával</w:t>
      </w:r>
      <w:r w:rsidRPr="00F64639">
        <w:t xml:space="preserve"> </w:t>
      </w:r>
      <w:r w:rsidR="00A53764" w:rsidRPr="00F64639">
        <w:t>illették</w:t>
      </w:r>
      <w:r w:rsidRPr="00F64639">
        <w:t xml:space="preserve"> a jogcím végrehajtásának nehézkességét, bonyolultságát, túlzott adminisztrációs kötelezettségét. Ezen véleményeket alátámasztják az átfutási idő adatok is: </w:t>
      </w:r>
      <w:r w:rsidR="00E038E7">
        <w:t xml:space="preserve">az első támogatási körben </w:t>
      </w:r>
      <w:r w:rsidRPr="00F64639">
        <w:t>egy támogatási kér</w:t>
      </w:r>
      <w:r w:rsidRPr="00F64639">
        <w:t>e</w:t>
      </w:r>
      <w:r w:rsidRPr="00F64639">
        <w:t xml:space="preserve">lem átlagos átfutási ideje 162 naptári </w:t>
      </w:r>
      <w:proofErr w:type="gramStart"/>
      <w:r w:rsidRPr="00F64639">
        <w:t>nap</w:t>
      </w:r>
      <w:proofErr w:type="gramEnd"/>
      <w:r w:rsidR="00EA3692" w:rsidRPr="00F64639">
        <w:rPr>
          <w:rStyle w:val="FootnoteReference"/>
        </w:rPr>
        <w:footnoteReference w:id="29"/>
      </w:r>
      <w:r w:rsidRPr="00F64639">
        <w:t xml:space="preserve"> míg egy kifizetési kérelemé ennél is hosszabb, 177 naptári nap</w:t>
      </w:r>
      <w:r w:rsidR="00EA3692" w:rsidRPr="00F64639">
        <w:rPr>
          <w:rStyle w:val="FootnoteReference"/>
        </w:rPr>
        <w:footnoteReference w:id="30"/>
      </w:r>
      <w:r w:rsidR="00E038E7">
        <w:t xml:space="preserve"> volt. Az átfutási idők a későbbi körökben csökkentek az intézményrendszer intézkedéseinek hatására.</w:t>
      </w:r>
      <w:r w:rsidRPr="00F64639">
        <w:t xml:space="preserve"> </w:t>
      </w:r>
      <w:r w:rsidR="00AF4E93" w:rsidRPr="00F64639">
        <w:t xml:space="preserve">A speciális eljárási szabályokból adódóan (a kedvezményezett a </w:t>
      </w:r>
      <w:proofErr w:type="spellStart"/>
      <w:r w:rsidR="00AF4E93" w:rsidRPr="00F64639">
        <w:t>TSZK-n</w:t>
      </w:r>
      <w:proofErr w:type="spellEnd"/>
      <w:r w:rsidR="00AF4E93" w:rsidRPr="00F64639">
        <w:t xml:space="preserve"> </w:t>
      </w:r>
      <w:proofErr w:type="gramStart"/>
      <w:r w:rsidR="00AF4E93" w:rsidRPr="00F64639">
        <w:t>keresztül nyújtja</w:t>
      </w:r>
      <w:proofErr w:type="gramEnd"/>
      <w:r w:rsidR="00AF4E93" w:rsidRPr="00F64639">
        <w:t xml:space="preserve"> be a kérelmeket, azonban a TSZK nem kap visszajelzést az </w:t>
      </w:r>
      <w:proofErr w:type="spellStart"/>
      <w:r w:rsidR="00AF4E93" w:rsidRPr="00F64639">
        <w:t>MVH-tól</w:t>
      </w:r>
      <w:proofErr w:type="spellEnd"/>
      <w:r w:rsidR="00AF4E93" w:rsidRPr="00F64639">
        <w:t xml:space="preserve"> a kérelem státuszával kapcsolatosan</w:t>
      </w:r>
      <w:r w:rsidR="00481655" w:rsidRPr="00F64639">
        <w:t xml:space="preserve"> a döntésig</w:t>
      </w:r>
      <w:r w:rsidR="00AF4E93" w:rsidRPr="00F64639">
        <w:t xml:space="preserve"> – ada</w:t>
      </w:r>
      <w:r w:rsidR="00AF4E93" w:rsidRPr="00F64639">
        <w:t>t</w:t>
      </w:r>
      <w:r w:rsidR="00AF4E93" w:rsidRPr="00F64639">
        <w:t>véde</w:t>
      </w:r>
      <w:r w:rsidR="00AF4E93" w:rsidRPr="00F64639">
        <w:t>l</w:t>
      </w:r>
      <w:r w:rsidR="00AF4E93" w:rsidRPr="00F64639">
        <w:t>mi okokra hivatkozva) a végső kedvezményez</w:t>
      </w:r>
      <w:r w:rsidR="00C14BE4" w:rsidRPr="00F64639">
        <w:t xml:space="preserve">etthez nem jutnak el a kérelem státuszával </w:t>
      </w:r>
      <w:r w:rsidR="00AF4E93" w:rsidRPr="00F64639">
        <w:t>kapcsolatos info</w:t>
      </w:r>
      <w:r w:rsidR="00AF4E93" w:rsidRPr="00F64639">
        <w:t>r</w:t>
      </w:r>
      <w:r w:rsidR="00AF4E93" w:rsidRPr="00F64639">
        <w:t xml:space="preserve">mációk sem az </w:t>
      </w:r>
      <w:proofErr w:type="spellStart"/>
      <w:r w:rsidR="00AF4E93" w:rsidRPr="00F64639">
        <w:t>MVH-tól</w:t>
      </w:r>
      <w:proofErr w:type="spellEnd"/>
      <w:r w:rsidR="00AF4E93" w:rsidRPr="00F64639">
        <w:t xml:space="preserve">, sem a </w:t>
      </w:r>
      <w:proofErr w:type="spellStart"/>
      <w:r w:rsidR="00AF4E93" w:rsidRPr="00F64639">
        <w:t>TSZK-tól</w:t>
      </w:r>
      <w:proofErr w:type="spellEnd"/>
      <w:r w:rsidR="00582A2C" w:rsidRPr="00F64639">
        <w:rPr>
          <w:rStyle w:val="FootnoteReference"/>
        </w:rPr>
        <w:footnoteReference w:id="31"/>
      </w:r>
      <w:r w:rsidR="00AF4E93" w:rsidRPr="00F64639">
        <w:t>.</w:t>
      </w:r>
    </w:p>
    <w:p w:rsidR="00F13027" w:rsidRDefault="00AF4E93" w:rsidP="006A14D3">
      <w:pPr>
        <w:pStyle w:val="HUNNormal"/>
        <w:tabs>
          <w:tab w:val="left" w:pos="709"/>
        </w:tabs>
      </w:pPr>
      <w:r w:rsidRPr="00F64639">
        <w:t xml:space="preserve">Mindezek </w:t>
      </w:r>
      <w:r w:rsidR="00845EB8" w:rsidRPr="00F64639">
        <w:t xml:space="preserve">fényében talán érthetőbb, hogy miért </w:t>
      </w:r>
      <w:r w:rsidR="00C36D52" w:rsidRPr="00F64639">
        <w:t xml:space="preserve">volt </w:t>
      </w:r>
      <w:r w:rsidR="00845EB8" w:rsidRPr="00F64639">
        <w:t>tapasztalható drasztikus csökkenés a beérkező támog</w:t>
      </w:r>
      <w:r w:rsidR="00845EB8" w:rsidRPr="00F64639">
        <w:t>a</w:t>
      </w:r>
      <w:r w:rsidR="00845EB8" w:rsidRPr="00F64639">
        <w:t>tási kérelmek számában: a 2007-es (indulás) évben még 9 520 db támogatási kérelem érkezett be, 2008-ban már csak 3 776 db (!), 2009-ben pedig 5 480 db.</w:t>
      </w:r>
      <w:r w:rsidR="00C36D52" w:rsidRPr="00F64639">
        <w:t xml:space="preserve"> </w:t>
      </w:r>
    </w:p>
    <w:p w:rsidR="00E60698" w:rsidRDefault="00E60698" w:rsidP="006A14D3">
      <w:pPr>
        <w:pStyle w:val="HUNNormal"/>
        <w:tabs>
          <w:tab w:val="left" w:pos="709"/>
        </w:tabs>
      </w:pPr>
    </w:p>
    <w:p w:rsidR="00E60698" w:rsidRDefault="00E60698" w:rsidP="006A14D3">
      <w:pPr>
        <w:pStyle w:val="HUNNormal"/>
        <w:tabs>
          <w:tab w:val="left" w:pos="709"/>
        </w:tabs>
      </w:pPr>
    </w:p>
    <w:p w:rsidR="00E60698" w:rsidRDefault="00E60698" w:rsidP="006A14D3">
      <w:pPr>
        <w:pStyle w:val="HUNNormal"/>
        <w:tabs>
          <w:tab w:val="left" w:pos="709"/>
        </w:tabs>
      </w:pPr>
    </w:p>
    <w:p w:rsidR="00E60698" w:rsidRPr="00F64639" w:rsidRDefault="00E60698" w:rsidP="006A14D3">
      <w:pPr>
        <w:pStyle w:val="HUNNormal"/>
        <w:tabs>
          <w:tab w:val="left" w:pos="709"/>
        </w:tabs>
      </w:pPr>
    </w:p>
    <w:p w:rsidR="00BA3419" w:rsidRPr="00F64639" w:rsidRDefault="00BA3419" w:rsidP="00E60698">
      <w:pPr>
        <w:pStyle w:val="HUNHeading3"/>
        <w:ind w:hanging="1224"/>
      </w:pPr>
      <w:bookmarkStart w:id="8" w:name="_Toc280786851"/>
      <w:r w:rsidRPr="00F64639">
        <w:lastRenderedPageBreak/>
        <w:t>Mezőgazdasági üzemek korszerűsítése (121. intézkedés)</w:t>
      </w:r>
      <w:bookmarkEnd w:id="8"/>
    </w:p>
    <w:p w:rsidR="00B02B51" w:rsidRPr="00F64639" w:rsidRDefault="00B92F98" w:rsidP="006A14D3">
      <w:pPr>
        <w:pStyle w:val="HUNNormal"/>
        <w:tabs>
          <w:tab w:val="left" w:pos="709"/>
        </w:tabs>
      </w:pPr>
      <w:r w:rsidRPr="00F64639">
        <w:t>A</w:t>
      </w:r>
      <w:r w:rsidR="00FC754B" w:rsidRPr="00F64639">
        <w:t>z I. tengely és az egész ÚMVP legjelentősebb forrást lekötő intézkedése a</w:t>
      </w:r>
      <w:r w:rsidRPr="00F64639">
        <w:t xml:space="preserve"> Mezőgazdasági üzemek korsz</w:t>
      </w:r>
      <w:r w:rsidRPr="00F64639">
        <w:t>e</w:t>
      </w:r>
      <w:r w:rsidRPr="00F64639">
        <w:t>rűsítése intézkedés</w:t>
      </w:r>
      <w:r w:rsidR="004812FE" w:rsidRPr="00F64639">
        <w:t>.</w:t>
      </w:r>
    </w:p>
    <w:p w:rsidR="00B92F98" w:rsidRPr="00F64639" w:rsidRDefault="00F64897" w:rsidP="00DF4BBF">
      <w:pPr>
        <w:pStyle w:val="HUNNormal"/>
        <w:numPr>
          <w:ilvl w:val="0"/>
          <w:numId w:val="18"/>
        </w:numPr>
        <w:tabs>
          <w:tab w:val="left" w:pos="709"/>
        </w:tabs>
      </w:pPr>
      <w:r w:rsidRPr="00F64639">
        <w:t>121. in</w:t>
      </w:r>
      <w:r w:rsidR="00B92F98" w:rsidRPr="00F64639">
        <w:t xml:space="preserve">tézkedés </w:t>
      </w:r>
      <w:r w:rsidRPr="00F64639">
        <w:t>az alább</w:t>
      </w:r>
      <w:r w:rsidR="00B92F98" w:rsidRPr="00F64639">
        <w:t>i</w:t>
      </w:r>
      <w:r w:rsidRPr="00F64639">
        <w:t xml:space="preserve"> </w:t>
      </w:r>
      <w:r w:rsidR="00B92F98" w:rsidRPr="00F64639">
        <w:t>jogcíme</w:t>
      </w:r>
      <w:r w:rsidRPr="00F64639">
        <w:t>ke</w:t>
      </w:r>
      <w:r w:rsidR="00B92F98" w:rsidRPr="00F64639">
        <w:t xml:space="preserve">t </w:t>
      </w:r>
      <w:r w:rsidRPr="00F64639">
        <w:t>foglalja magában:</w:t>
      </w:r>
    </w:p>
    <w:p w:rsidR="00B92F98" w:rsidRPr="00F64639" w:rsidRDefault="00B92F98" w:rsidP="00DF4BBF">
      <w:pPr>
        <w:pStyle w:val="HUNNormal"/>
        <w:numPr>
          <w:ilvl w:val="1"/>
          <w:numId w:val="18"/>
        </w:numPr>
        <w:tabs>
          <w:tab w:val="left" w:pos="709"/>
        </w:tabs>
      </w:pPr>
      <w:r w:rsidRPr="00F64639">
        <w:t>Kertészeti gépek, technoló</w:t>
      </w:r>
      <w:r w:rsidR="00F64897" w:rsidRPr="00F64639">
        <w:t xml:space="preserve">giai berendezések beszerzése </w:t>
      </w:r>
      <w:r w:rsidR="009960F1" w:rsidRPr="00F64639">
        <w:t>(26/2008 (III.7) FVM rendelet)</w:t>
      </w:r>
      <w:r w:rsidRPr="00F64639">
        <w:t>;</w:t>
      </w:r>
    </w:p>
    <w:p w:rsidR="00B92F98" w:rsidRPr="00F64639" w:rsidRDefault="00B92F98" w:rsidP="00DF4BBF">
      <w:pPr>
        <w:pStyle w:val="HUNNormal"/>
        <w:numPr>
          <w:ilvl w:val="1"/>
          <w:numId w:val="18"/>
        </w:numPr>
        <w:tabs>
          <w:tab w:val="left" w:pos="709"/>
        </w:tabs>
      </w:pPr>
      <w:r w:rsidRPr="00F64639">
        <w:t>Öntözés, melioráció, területi vízgazdálkodás</w:t>
      </w:r>
      <w:r w:rsidR="009960F1" w:rsidRPr="00F64639">
        <w:t xml:space="preserve"> (</w:t>
      </w:r>
      <w:r w:rsidR="00EE6861" w:rsidRPr="00F64639">
        <w:t>34/2008 (III.27) FVM rendelet)</w:t>
      </w:r>
      <w:r w:rsidRPr="00F64639">
        <w:t>;</w:t>
      </w:r>
    </w:p>
    <w:p w:rsidR="00B92F98" w:rsidRPr="00F64639" w:rsidRDefault="00B92F98" w:rsidP="00DF4BBF">
      <w:pPr>
        <w:pStyle w:val="HUNNormal"/>
        <w:numPr>
          <w:ilvl w:val="1"/>
          <w:numId w:val="18"/>
        </w:numPr>
        <w:tabs>
          <w:tab w:val="left" w:pos="709"/>
        </w:tabs>
      </w:pPr>
      <w:r w:rsidRPr="00F64639">
        <w:t>Növénytermesztés létesítményeinek korszerűsítés</w:t>
      </w:r>
      <w:r w:rsidR="00F64897" w:rsidRPr="00F64639">
        <w:t>e</w:t>
      </w:r>
      <w:r w:rsidR="00EE6861" w:rsidRPr="00F64639">
        <w:t xml:space="preserve"> (35/2008 (III.27) FVM rendelet)</w:t>
      </w:r>
      <w:r w:rsidRPr="00F64639">
        <w:t>;</w:t>
      </w:r>
    </w:p>
    <w:p w:rsidR="00B92F98" w:rsidRPr="00F64639" w:rsidRDefault="00B92F98" w:rsidP="00DF4BBF">
      <w:pPr>
        <w:pStyle w:val="HUNNormal"/>
        <w:numPr>
          <w:ilvl w:val="1"/>
          <w:numId w:val="18"/>
        </w:numPr>
        <w:tabs>
          <w:tab w:val="left" w:pos="709"/>
        </w:tabs>
      </w:pPr>
      <w:r w:rsidRPr="00F64639">
        <w:t>Mezőgazdasági energiafelhasználás megújuló erőforrásokból történő előállítás</w:t>
      </w:r>
      <w:r w:rsidR="00F64897" w:rsidRPr="00F64639">
        <w:t>a</w:t>
      </w:r>
      <w:r w:rsidR="00EE6861" w:rsidRPr="00F64639">
        <w:t xml:space="preserve"> (78/2007 (VII.30) FVM rendelet)</w:t>
      </w:r>
      <w:r w:rsidRPr="00F64639">
        <w:t>;</w:t>
      </w:r>
    </w:p>
    <w:p w:rsidR="00B92F98" w:rsidRPr="00F64639" w:rsidRDefault="00B92F98" w:rsidP="00DF4BBF">
      <w:pPr>
        <w:pStyle w:val="HUNNormal"/>
        <w:numPr>
          <w:ilvl w:val="1"/>
          <w:numId w:val="18"/>
        </w:numPr>
        <w:tabs>
          <w:tab w:val="left" w:pos="709"/>
        </w:tabs>
      </w:pPr>
      <w:r w:rsidRPr="00F64639">
        <w:t>Kertészeti üzemek korszerűsítése</w:t>
      </w:r>
      <w:r w:rsidR="00EE6861" w:rsidRPr="00F64639">
        <w:t xml:space="preserve"> (25/2008 (III.7) FVM rendelet)</w:t>
      </w:r>
      <w:r w:rsidRPr="00F64639">
        <w:t>;</w:t>
      </w:r>
    </w:p>
    <w:p w:rsidR="00B92F98" w:rsidRPr="00F64639" w:rsidRDefault="00B92F98" w:rsidP="00DF4BBF">
      <w:pPr>
        <w:pStyle w:val="HUNNormal"/>
        <w:numPr>
          <w:ilvl w:val="1"/>
          <w:numId w:val="18"/>
        </w:numPr>
        <w:tabs>
          <w:tab w:val="left" w:pos="709"/>
        </w:tabs>
      </w:pPr>
      <w:r w:rsidRPr="00F64639">
        <w:t>Önálló, építéssel nem járó gépek, technológiai berendezések beszerzése</w:t>
      </w:r>
      <w:r w:rsidR="00EE6861" w:rsidRPr="00F64639">
        <w:t xml:space="preserve"> (26/2007 (IV.17) FVM rendelet)</w:t>
      </w:r>
      <w:r w:rsidRPr="00F64639">
        <w:t>;</w:t>
      </w:r>
    </w:p>
    <w:p w:rsidR="00B92F98" w:rsidRPr="00F64639" w:rsidRDefault="00B92F98" w:rsidP="00F64897">
      <w:pPr>
        <w:pStyle w:val="HUNNormal"/>
        <w:numPr>
          <w:ilvl w:val="1"/>
          <w:numId w:val="18"/>
        </w:numPr>
        <w:tabs>
          <w:tab w:val="left" w:pos="709"/>
        </w:tabs>
      </w:pPr>
      <w:r w:rsidRPr="00F64639">
        <w:t>Állattartó telepek korszerűsítése</w:t>
      </w:r>
      <w:r w:rsidR="009960F1" w:rsidRPr="00F64639">
        <w:t xml:space="preserve"> (27/2007 (IV.17) FVM rendelet)</w:t>
      </w:r>
      <w:r w:rsidR="004F56B8" w:rsidRPr="00F64639">
        <w:t>;</w:t>
      </w:r>
    </w:p>
    <w:p w:rsidR="00B92F98" w:rsidRPr="00F64639" w:rsidRDefault="00B92F98" w:rsidP="00F64897">
      <w:pPr>
        <w:pStyle w:val="HUNNormal"/>
        <w:numPr>
          <w:ilvl w:val="1"/>
          <w:numId w:val="18"/>
        </w:numPr>
        <w:tabs>
          <w:tab w:val="left" w:pos="709"/>
        </w:tabs>
      </w:pPr>
      <w:proofErr w:type="spellStart"/>
      <w:r w:rsidRPr="00F64639">
        <w:t>GazdaNet</w:t>
      </w:r>
      <w:proofErr w:type="spellEnd"/>
      <w:r w:rsidRPr="00F64639">
        <w:t xml:space="preserve"> program: az értékelés összeállításáig nem került meghirdetésre;</w:t>
      </w:r>
    </w:p>
    <w:p w:rsidR="00B92F98" w:rsidRPr="00F64639" w:rsidRDefault="00B92F98" w:rsidP="00DF4BBF">
      <w:pPr>
        <w:pStyle w:val="HUNNormal"/>
        <w:numPr>
          <w:ilvl w:val="1"/>
          <w:numId w:val="18"/>
        </w:numPr>
        <w:tabs>
          <w:tab w:val="left" w:pos="709"/>
        </w:tabs>
      </w:pPr>
      <w:r w:rsidRPr="00F64639">
        <w:t>Évelő, lágy és fás szárú energiaültetvények telepítés</w:t>
      </w:r>
      <w:r w:rsidR="00F64897" w:rsidRPr="00F64639">
        <w:t>e</w:t>
      </w:r>
      <w:r w:rsidR="009960F1" w:rsidRPr="00F64639">
        <w:t xml:space="preserve"> (</w:t>
      </w:r>
      <w:r w:rsidR="00EE6861" w:rsidRPr="00F64639">
        <w:t>71/2007. (VII. 27.) FVM rendelet</w:t>
      </w:r>
      <w:r w:rsidR="00C14BE4" w:rsidRPr="00F64639">
        <w:t xml:space="preserve"> és 72/2007. (VII. 27.) FVM rendelet</w:t>
      </w:r>
      <w:r w:rsidR="009960F1" w:rsidRPr="00F64639">
        <w:t>)</w:t>
      </w:r>
      <w:r w:rsidR="00B5028B" w:rsidRPr="00F64639">
        <w:t>;</w:t>
      </w:r>
    </w:p>
    <w:p w:rsidR="00B92F98" w:rsidRPr="00F64639" w:rsidRDefault="00B92F98" w:rsidP="00DF4BBF">
      <w:pPr>
        <w:pStyle w:val="HUNNormal"/>
        <w:numPr>
          <w:ilvl w:val="1"/>
          <w:numId w:val="18"/>
        </w:numPr>
        <w:tabs>
          <w:tab w:val="left" w:pos="709"/>
        </w:tabs>
      </w:pPr>
      <w:r w:rsidRPr="00F64639">
        <w:t>(Gyümölcs</w:t>
      </w:r>
      <w:proofErr w:type="gramStart"/>
      <w:r w:rsidRPr="00F64639">
        <w:t>)ültetvények</w:t>
      </w:r>
      <w:proofErr w:type="gramEnd"/>
      <w:r w:rsidRPr="00F64639">
        <w:t xml:space="preserve"> korszerűsítés</w:t>
      </w:r>
      <w:r w:rsidR="00F64897" w:rsidRPr="00F64639">
        <w:t>e</w:t>
      </w:r>
      <w:r w:rsidR="009960F1" w:rsidRPr="00F64639">
        <w:t xml:space="preserve"> (</w:t>
      </w:r>
      <w:r w:rsidR="00EE6861" w:rsidRPr="00F64639">
        <w:t>75/2007. (VII. 27.) FVM rendelet</w:t>
      </w:r>
      <w:r w:rsidR="009960F1" w:rsidRPr="00F64639">
        <w:t>)</w:t>
      </w:r>
      <w:r w:rsidR="00B5028B" w:rsidRPr="00F64639">
        <w:t>;</w:t>
      </w:r>
    </w:p>
    <w:p w:rsidR="00B5028B" w:rsidRPr="00F64639" w:rsidRDefault="00B5028B" w:rsidP="00F64897">
      <w:pPr>
        <w:pStyle w:val="HUNNormal"/>
        <w:numPr>
          <w:ilvl w:val="1"/>
          <w:numId w:val="18"/>
        </w:numPr>
        <w:tabs>
          <w:tab w:val="left" w:pos="709"/>
        </w:tabs>
      </w:pPr>
      <w:r w:rsidRPr="00F64639">
        <w:t xml:space="preserve">Mezőgazdasági termékek értéknöveléséhez nyújtott támogatások: NVT determináció, ami a jelen értékelés hatókörén kívül esik. </w:t>
      </w:r>
    </w:p>
    <w:p w:rsidR="00B02B51" w:rsidRPr="00F64639" w:rsidRDefault="0074556C" w:rsidP="006A14D3">
      <w:pPr>
        <w:pStyle w:val="HUNNormal"/>
        <w:tabs>
          <w:tab w:val="left" w:pos="709"/>
        </w:tabs>
      </w:pPr>
      <w:r w:rsidRPr="00F64639">
        <w:t xml:space="preserve">A következőkben </w:t>
      </w:r>
      <w:r w:rsidR="00825997" w:rsidRPr="00F64639">
        <w:t xml:space="preserve">a jogcímeket </w:t>
      </w:r>
      <w:r w:rsidR="009960F1" w:rsidRPr="00F64639">
        <w:t xml:space="preserve">külön </w:t>
      </w:r>
      <w:r w:rsidR="00825997" w:rsidRPr="00F64639">
        <w:t>értékeljük.</w:t>
      </w:r>
      <w:r w:rsidR="00B037AF" w:rsidRPr="00F64639">
        <w:t xml:space="preserve"> </w:t>
      </w:r>
      <w:r w:rsidR="00CC011C" w:rsidRPr="00F64639">
        <w:t xml:space="preserve">A hatás, illetve hatékonyságelemezést </w:t>
      </w:r>
      <w:r w:rsidR="00F64897" w:rsidRPr="00F64639">
        <w:t>a hasonló célú jogc</w:t>
      </w:r>
      <w:r w:rsidR="00F64897" w:rsidRPr="00F64639">
        <w:t>í</w:t>
      </w:r>
      <w:r w:rsidR="00F64897" w:rsidRPr="00F64639">
        <w:t>mekre együtt mutatjuk be.</w:t>
      </w:r>
    </w:p>
    <w:p w:rsidR="00AC1FD2" w:rsidRPr="00F64639" w:rsidRDefault="00AC1FD2" w:rsidP="00E60698">
      <w:pPr>
        <w:pStyle w:val="HUNHeading4"/>
        <w:ind w:hanging="1728"/>
      </w:pPr>
      <w:r w:rsidRPr="00F64639">
        <w:t>Kertészeti gépek, technológiai berendezések</w:t>
      </w:r>
    </w:p>
    <w:p w:rsidR="00AC1FD2" w:rsidRPr="00F64639" w:rsidRDefault="001975A4" w:rsidP="006A14D3">
      <w:pPr>
        <w:pStyle w:val="HUNNormal"/>
        <w:tabs>
          <w:tab w:val="left" w:pos="709"/>
        </w:tabs>
      </w:pPr>
      <w:r w:rsidRPr="00F64639">
        <w:t xml:space="preserve">A </w:t>
      </w:r>
      <w:r w:rsidRPr="00F64639">
        <w:rPr>
          <w:b/>
        </w:rPr>
        <w:t>Kertészeti gépek, technológiai berendezések beszerzése</w:t>
      </w:r>
      <w:r w:rsidRPr="00F64639">
        <w:t xml:space="preserve"> jogcím célja a kertészeti ágazat </w:t>
      </w:r>
      <w:r w:rsidRPr="00F64639">
        <w:rPr>
          <w:b/>
        </w:rPr>
        <w:t>technológiai</w:t>
      </w:r>
      <w:r w:rsidRPr="00F64639">
        <w:t xml:space="preserve"> színvonalának </w:t>
      </w:r>
      <w:r w:rsidRPr="00F64639">
        <w:rPr>
          <w:b/>
        </w:rPr>
        <w:t>javítása</w:t>
      </w:r>
      <w:r w:rsidRPr="00F64639">
        <w:t xml:space="preserve">, </w:t>
      </w:r>
      <w:r w:rsidRPr="00F64639">
        <w:rPr>
          <w:b/>
        </w:rPr>
        <w:t>környezetbarát</w:t>
      </w:r>
      <w:r w:rsidRPr="00F64639">
        <w:t xml:space="preserve"> gépek és technológiai berendezések beszerzése révén.</w:t>
      </w:r>
    </w:p>
    <w:p w:rsidR="001975A4" w:rsidRPr="00F64639" w:rsidRDefault="001975A4" w:rsidP="001975A4">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32"/>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1975A4"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1975A4" w:rsidRPr="00F64639" w:rsidRDefault="001107CB" w:rsidP="000B0E4C">
            <w:pPr>
              <w:jc w:val="center"/>
              <w:rPr>
                <w:b/>
                <w:bCs/>
                <w:iCs/>
                <w:color w:val="FFFFFF"/>
                <w:szCs w:val="22"/>
              </w:rPr>
            </w:pPr>
            <w:r w:rsidRPr="00F64639">
              <w:rPr>
                <w:b/>
                <w:bCs/>
                <w:iCs/>
                <w:color w:val="FFFFFF"/>
                <w:szCs w:val="22"/>
              </w:rPr>
              <w:t>Kertészeti gépek, technológiai berendezések</w:t>
            </w:r>
          </w:p>
        </w:tc>
      </w:tr>
      <w:tr w:rsidR="001975A4"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1975A4" w:rsidRPr="00F64639" w:rsidRDefault="00F02AE0" w:rsidP="000B0E4C">
            <w:pPr>
              <w:jc w:val="center"/>
              <w:rPr>
                <w:rFonts w:cs="Arial"/>
                <w:sz w:val="18"/>
                <w:szCs w:val="18"/>
              </w:rPr>
            </w:pPr>
            <w:r w:rsidRPr="00F64639">
              <w:rPr>
                <w:iCs/>
                <w:szCs w:val="22"/>
              </w:rPr>
              <w:t>intézkedés szinten került meghatározásra</w:t>
            </w:r>
          </w:p>
        </w:tc>
      </w:tr>
      <w:tr w:rsidR="001975A4" w:rsidRPr="00F64639" w:rsidTr="000B0E4C">
        <w:tc>
          <w:tcPr>
            <w:tcW w:w="2778" w:type="pct"/>
            <w:tcBorders>
              <w:left w:val="single" w:sz="8" w:space="0" w:color="FFFFFF"/>
              <w:bottom w:val="nil"/>
              <w:right w:val="single" w:sz="24"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1975A4" w:rsidRPr="00F64639" w:rsidRDefault="001975A4" w:rsidP="000B0E4C">
            <w:pPr>
              <w:jc w:val="center"/>
              <w:rPr>
                <w:iCs/>
                <w:szCs w:val="22"/>
              </w:rPr>
            </w:pPr>
            <w:r w:rsidRPr="00F64639">
              <w:rPr>
                <w:iCs/>
                <w:szCs w:val="22"/>
              </w:rPr>
              <w:t>1964 db</w:t>
            </w:r>
          </w:p>
        </w:tc>
      </w:tr>
      <w:tr w:rsidR="001975A4"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1975A4" w:rsidRPr="00F64639" w:rsidRDefault="001975A4" w:rsidP="000B0E4C">
            <w:pPr>
              <w:jc w:val="center"/>
              <w:rPr>
                <w:iCs/>
                <w:szCs w:val="22"/>
              </w:rPr>
            </w:pPr>
            <w:r w:rsidRPr="00F64639">
              <w:rPr>
                <w:iCs/>
                <w:szCs w:val="22"/>
              </w:rPr>
              <w:t>1964 db</w:t>
            </w:r>
          </w:p>
        </w:tc>
      </w:tr>
      <w:tr w:rsidR="001975A4" w:rsidRPr="00F64639" w:rsidTr="000B0E4C">
        <w:tc>
          <w:tcPr>
            <w:tcW w:w="2778" w:type="pct"/>
            <w:tcBorders>
              <w:left w:val="single" w:sz="8" w:space="0" w:color="FFFFFF"/>
              <w:bottom w:val="nil"/>
              <w:right w:val="single" w:sz="24"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1975A4" w:rsidRPr="00F64639" w:rsidRDefault="001975A4" w:rsidP="000B0E4C">
            <w:pPr>
              <w:jc w:val="center"/>
              <w:rPr>
                <w:iCs/>
                <w:szCs w:val="22"/>
              </w:rPr>
            </w:pPr>
            <w:r w:rsidRPr="00F64639">
              <w:rPr>
                <w:iCs/>
                <w:szCs w:val="22"/>
              </w:rPr>
              <w:t>1689 db</w:t>
            </w:r>
          </w:p>
        </w:tc>
      </w:tr>
      <w:tr w:rsidR="001975A4"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lastRenderedPageBreak/>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1975A4" w:rsidRPr="00F64639" w:rsidRDefault="001975A4" w:rsidP="000B0E4C">
            <w:pPr>
              <w:jc w:val="center"/>
              <w:rPr>
                <w:iCs/>
                <w:szCs w:val="22"/>
              </w:rPr>
            </w:pPr>
            <w:r w:rsidRPr="00F64639">
              <w:rPr>
                <w:iCs/>
                <w:szCs w:val="22"/>
              </w:rPr>
              <w:t>10 060 698 066 Ft</w:t>
            </w:r>
            <w:r w:rsidRPr="00F64639">
              <w:rPr>
                <w:rStyle w:val="FootnoteReference"/>
                <w:iCs/>
                <w:szCs w:val="22"/>
              </w:rPr>
              <w:footnoteReference w:id="33"/>
            </w:r>
          </w:p>
        </w:tc>
      </w:tr>
      <w:tr w:rsidR="001975A4" w:rsidRPr="00F64639" w:rsidTr="000B0E4C">
        <w:tc>
          <w:tcPr>
            <w:tcW w:w="2778" w:type="pct"/>
            <w:tcBorders>
              <w:left w:val="single" w:sz="8" w:space="0" w:color="FFFFFF"/>
              <w:right w:val="single" w:sz="24" w:space="0" w:color="FFFFFF"/>
            </w:tcBorders>
            <w:shd w:val="clear" w:color="auto" w:fill="C0504D"/>
          </w:tcPr>
          <w:p w:rsidR="001975A4" w:rsidRPr="00F64639" w:rsidRDefault="001975A4"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1975A4" w:rsidRPr="00F64639" w:rsidRDefault="001975A4" w:rsidP="000B0E4C">
            <w:pPr>
              <w:jc w:val="center"/>
              <w:rPr>
                <w:color w:val="000000"/>
              </w:rPr>
            </w:pPr>
            <w:r w:rsidRPr="00F64639">
              <w:rPr>
                <w:color w:val="000000"/>
              </w:rPr>
              <w:t xml:space="preserve">6 610 856 749 </w:t>
            </w:r>
            <w:r w:rsidRPr="00F64639">
              <w:rPr>
                <w:bCs/>
                <w:color w:val="000000"/>
              </w:rPr>
              <w:t>Ft</w:t>
            </w:r>
            <w:r w:rsidRPr="00F64639">
              <w:rPr>
                <w:rStyle w:val="FootnoteReference"/>
                <w:iCs/>
                <w:szCs w:val="22"/>
              </w:rPr>
              <w:footnoteReference w:id="34"/>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301E88">
        <w:rPr>
          <w:noProof/>
          <w:color w:val="auto"/>
        </w:rPr>
        <w:t>5</w:t>
      </w:r>
      <w:r w:rsidRPr="00F64639">
        <w:rPr>
          <w:color w:val="auto"/>
        </w:rPr>
        <w:fldChar w:fldCharType="end"/>
      </w:r>
      <w:r w:rsidR="00AB435B" w:rsidRPr="00F64639">
        <w:rPr>
          <w:color w:val="auto"/>
        </w:rPr>
        <w:t>. táblázat: A jogcím általános jellemzői</w:t>
      </w:r>
    </w:p>
    <w:p w:rsidR="00EE6861" w:rsidRPr="00F64639" w:rsidRDefault="00EE6861" w:rsidP="00EE6861">
      <w:pPr>
        <w:pStyle w:val="HUNNormal"/>
        <w:tabs>
          <w:tab w:val="left" w:pos="709"/>
        </w:tabs>
      </w:pPr>
      <w:r w:rsidRPr="00F64639">
        <w:t>A jogcím keretében a mezőgazdasági gépkatalógusból lehatárolt</w:t>
      </w:r>
      <w:r w:rsidR="009916B5" w:rsidRPr="00F64639">
        <w:t>, a jogcím rendelet mellékletében közzétett</w:t>
      </w:r>
      <w:r w:rsidRPr="00F64639">
        <w:t xml:space="preserve"> kertészeti gépekhez lehetett támogatást igényelni 35%-os intenzitással, a támogatási időszakra vonatkozó legfeljebb 735. 000 eurós limit mellett.</w:t>
      </w:r>
    </w:p>
    <w:p w:rsidR="00CD5E38" w:rsidRPr="00F64639" w:rsidRDefault="009F43F5" w:rsidP="00CD5E38">
      <w:pPr>
        <w:pStyle w:val="HUNNormal"/>
        <w:tabs>
          <w:tab w:val="left" w:pos="709"/>
        </w:tabs>
      </w:pPr>
      <w:r w:rsidRPr="00F64639">
        <w:t xml:space="preserve">A </w:t>
      </w:r>
      <w:proofErr w:type="gramStart"/>
      <w:r w:rsidRPr="00F64639">
        <w:t>támogatást</w:t>
      </w:r>
      <w:proofErr w:type="gramEnd"/>
      <w:r w:rsidRPr="00F64639">
        <w:t xml:space="preserve"> a kertészet</w:t>
      </w:r>
      <w:r w:rsidR="001107CB" w:rsidRPr="00F64639">
        <w:t>i</w:t>
      </w:r>
      <w:r w:rsidRPr="00F64639">
        <w:t xml:space="preserve"> tevékenységet is végző mezőgazdasági termelők, illetve termelői csoportok, sze</w:t>
      </w:r>
      <w:r w:rsidRPr="00F64639">
        <w:t>r</w:t>
      </w:r>
      <w:r w:rsidRPr="00F64639">
        <w:t xml:space="preserve">vezetek vehették igénybe. Előbbiek üzemi méretének meg kellett haladnia a 4 </w:t>
      </w:r>
      <w:proofErr w:type="spellStart"/>
      <w:r w:rsidRPr="00F64639">
        <w:t>EUME-t</w:t>
      </w:r>
      <w:proofErr w:type="spellEnd"/>
      <w:r w:rsidR="004F56B8" w:rsidRPr="00F64639">
        <w:t>,</w:t>
      </w:r>
      <w:r w:rsidRPr="00F64639">
        <w:t xml:space="preserve"> </w:t>
      </w:r>
      <w:r w:rsidR="004F56B8" w:rsidRPr="00F64639">
        <w:t>kivéve,</w:t>
      </w:r>
      <w:r w:rsidRPr="00F64639">
        <w:t xml:space="preserve"> ha induló vállalkozás nyújtotta be a kérelmet. </w:t>
      </w:r>
      <w:r w:rsidR="00CD5E38" w:rsidRPr="00F64639">
        <w:t>Esetükben a beruházás</w:t>
      </w:r>
      <w:r w:rsidR="00CD5E38">
        <w:t xml:space="preserve"> befejezését</w:t>
      </w:r>
      <w:r w:rsidR="00CD5E38" w:rsidRPr="00F64639">
        <w:t xml:space="preserve"> követő első </w:t>
      </w:r>
      <w:r w:rsidR="00CD5E38">
        <w:t xml:space="preserve">teljes </w:t>
      </w:r>
      <w:r w:rsidR="00CD5E38" w:rsidRPr="00F64639">
        <w:t>naptári évben kellett teljesíteni ezt a követelményt.</w:t>
      </w:r>
    </w:p>
    <w:p w:rsidR="00C24163" w:rsidRPr="00F64639" w:rsidRDefault="00C24163" w:rsidP="006A14D3">
      <w:pPr>
        <w:pStyle w:val="HUNNormal"/>
        <w:tabs>
          <w:tab w:val="left" w:pos="709"/>
        </w:tabs>
      </w:pPr>
      <w:r w:rsidRPr="00F64639">
        <w:t>A támogatást objektív szempontok alapján ítélték oda. A bírálati szempontok 35%-a szakmai (TÉSZ, besze</w:t>
      </w:r>
      <w:r w:rsidRPr="00F64639">
        <w:t>r</w:t>
      </w:r>
      <w:r w:rsidRPr="00F64639">
        <w:t>zendő gép jellemzői), 65%-a horizontális szempontok</w:t>
      </w:r>
      <w:r w:rsidR="00E75745" w:rsidRPr="00F64639">
        <w:t>at képvisel</w:t>
      </w:r>
      <w:r w:rsidRPr="00F64639">
        <w:t>. Utóbbi szempontok a munkahely megő</w:t>
      </w:r>
      <w:r w:rsidRPr="00F64639">
        <w:t>r</w:t>
      </w:r>
      <w:r w:rsidRPr="00F64639">
        <w:t>zés/bővítés; az AKG támogatás tényét, a hátr</w:t>
      </w:r>
      <w:r w:rsidR="009916B5" w:rsidRPr="00F64639">
        <w:t>ányos helyzetű térségeket, a nőket</w:t>
      </w:r>
      <w:r w:rsidRPr="00F64639">
        <w:t xml:space="preserve">, a roma </w:t>
      </w:r>
      <w:r w:rsidR="009916B5" w:rsidRPr="00F64639">
        <w:t>származásúakat</w:t>
      </w:r>
      <w:r w:rsidRPr="00F64639">
        <w:t>, a reális üzleti tervet és a gazdasági vállalásokat (árbevétel, termelékenység) kívánták preferálni.</w:t>
      </w:r>
    </w:p>
    <w:p w:rsidR="009916B5" w:rsidRPr="00F64639" w:rsidRDefault="009916B5" w:rsidP="006A14D3">
      <w:pPr>
        <w:pStyle w:val="HUNNormal"/>
        <w:tabs>
          <w:tab w:val="left" w:pos="709"/>
        </w:tabs>
      </w:pPr>
      <w:r w:rsidRPr="00F64639">
        <w:t>A beérkezett több mint 3.000 kérelem mintegy egyharmada került elutasításra jogosulatlanság, vagy adm</w:t>
      </w:r>
      <w:r w:rsidRPr="00F64639">
        <w:t>i</w:t>
      </w:r>
      <w:r w:rsidRPr="00F64639">
        <w:t>nisztratív okok miatt. A magas elutasítási arány oka részben az volt, hogy a támogatható gépek sorába olyan közepes teljesítményű erőgépek is bekerültek, amelyek a kertészeti ágazatban is szükségesek (kertészeti kultúrák szabadföldi termesztéséhez), de jellemzően a szántóföldi növénytermesztésben használatosak. Ebből adódóan számos, magas támogatási igényű kérelem érkezett olyan gazdálkodóktól, akik nem vége</w:t>
      </w:r>
      <w:r w:rsidRPr="00F64639">
        <w:t>z</w:t>
      </w:r>
      <w:r w:rsidRPr="00F64639">
        <w:t xml:space="preserve">nek kertészeti tevékenységet. Ezeket, a tevékenység ellenőrzése után az MVH elutasította. </w:t>
      </w:r>
    </w:p>
    <w:p w:rsidR="00C24163" w:rsidRPr="00F64639" w:rsidRDefault="00C24163" w:rsidP="00C24163">
      <w:pPr>
        <w:pStyle w:val="HUNNormal"/>
        <w:tabs>
          <w:tab w:val="left" w:pos="709"/>
        </w:tabs>
      </w:pPr>
      <w:r w:rsidRPr="00F64639">
        <w:t xml:space="preserve">A jóváhagyott támogatási kérelmek döntő </w:t>
      </w:r>
      <w:r w:rsidRPr="00F64639">
        <w:rPr>
          <w:b/>
        </w:rPr>
        <w:t>többsége</w:t>
      </w:r>
      <w:r w:rsidRPr="00F64639">
        <w:t xml:space="preserve"> </w:t>
      </w:r>
      <w:r w:rsidRPr="00F64639">
        <w:rPr>
          <w:b/>
        </w:rPr>
        <w:t>magánszemélyektől</w:t>
      </w:r>
      <w:r w:rsidRPr="00F64639">
        <w:t xml:space="preserve"> származik (75%). A szervezetek közül a legtöbb jóváhagyott kérelem a </w:t>
      </w:r>
      <w:r w:rsidRPr="00F64639">
        <w:rPr>
          <w:b/>
        </w:rPr>
        <w:t>kisvállalatoktól</w:t>
      </w:r>
      <w:r w:rsidRPr="00F64639">
        <w:t xml:space="preserve"> érkezett be (58%): a nagyvállalatok mindössze 12,5%-os részesedéssel bírnak.</w:t>
      </w:r>
      <w:r w:rsidR="0026542D" w:rsidRPr="00F64639">
        <w:t xml:space="preserve"> </w:t>
      </w:r>
      <w:r w:rsidR="00C01E54" w:rsidRPr="00F64639">
        <w:t>Ami a megítélt támogatási összegek szerinti megoszlást illeti, megállapítható, hogy a magánszemélyek a lekötött források 58%-át „</w:t>
      </w:r>
      <w:r w:rsidR="00184CDA" w:rsidRPr="00F64639">
        <w:t>vitték</w:t>
      </w:r>
      <w:r w:rsidR="00C01E54" w:rsidRPr="00F64639">
        <w:t xml:space="preserve"> el”, míg a szervezetek közül legnagyobb részesedéssel a kis- és középvállalkozások bírnak (együttesen 28%), a nagyvállalatok – csakúgy, mint a kérelmek számát illetően – alacsony részaránnyal (9%) bírnak. </w:t>
      </w:r>
    </w:p>
    <w:p w:rsidR="00C23136" w:rsidRPr="00F64639" w:rsidRDefault="00C23136" w:rsidP="006A14D3">
      <w:pPr>
        <w:pStyle w:val="HUNNormal"/>
        <w:tabs>
          <w:tab w:val="left" w:pos="709"/>
        </w:tabs>
      </w:pPr>
      <w:r w:rsidRPr="00F64639">
        <w:t>A jóváhagyott támogatási kérelmek megyei bontását értékelve megállapítható, hogy a legtöbb kérelem Sz</w:t>
      </w:r>
      <w:r w:rsidRPr="00F64639">
        <w:t>a</w:t>
      </w:r>
      <w:r w:rsidRPr="00F64639">
        <w:t>bolcs-Szatmár-Bereg, Bács-Kiskun és Hajdú-Bihar megyékből érkezett (rendre 20,16%, 12,20% és 7,70%). A</w:t>
      </w:r>
      <w:r w:rsidR="00C24163" w:rsidRPr="00F64639">
        <w:t xml:space="preserve"> legkevesebb kérelem Budapest után</w:t>
      </w:r>
      <w:r w:rsidRPr="00F64639">
        <w:t>, Komárom-Esztergom és Nógrád megyéből érkezett (rendre 0,98%, 1,24% és 1,30%). A jóváhagyott kérelmek többsége hátrányos helyzetű, LHH vagy komplex LHH kistérségből származik (rendre 27%, 9% és 26%).</w:t>
      </w:r>
    </w:p>
    <w:p w:rsidR="004A0BC4" w:rsidRPr="00F64639" w:rsidRDefault="008B720F" w:rsidP="006A14D3">
      <w:pPr>
        <w:pStyle w:val="HUNNormal"/>
        <w:tabs>
          <w:tab w:val="left" w:pos="709"/>
        </w:tabs>
      </w:pPr>
      <w:r w:rsidRPr="00F64639">
        <w:t>A projektek</w:t>
      </w:r>
      <w:r w:rsidR="00BA4219" w:rsidRPr="00F64639">
        <w:t>ben csak gépbeszerzésre került sor.</w:t>
      </w:r>
      <w:r w:rsidR="00301E88">
        <w:t xml:space="preserve"> </w:t>
      </w:r>
      <w:r w:rsidR="004A0BC4" w:rsidRPr="00F64639">
        <w:t xml:space="preserve">A legjellemzőbb eszközök a következőek </w:t>
      </w:r>
      <w:proofErr w:type="gramStart"/>
      <w:r w:rsidR="004A0BC4" w:rsidRPr="00F64639">
        <w:t>voltak</w:t>
      </w:r>
      <w:r w:rsidR="00524D0E" w:rsidRPr="00F64639">
        <w:rPr>
          <w:rStyle w:val="FootnoteReference"/>
        </w:rPr>
        <w:footnoteReference w:id="35"/>
      </w:r>
      <w:r w:rsidR="004A0BC4" w:rsidRPr="00F64639">
        <w:t>:</w:t>
      </w:r>
      <w:proofErr w:type="gramEnd"/>
    </w:p>
    <w:tbl>
      <w:tblPr>
        <w:tblW w:w="0" w:type="auto"/>
        <w:jc w:val="center"/>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3101"/>
        <w:gridCol w:w="3101"/>
      </w:tblGrid>
      <w:tr w:rsidR="00147559" w:rsidRPr="00F64639" w:rsidTr="002F783E">
        <w:trPr>
          <w:tblHeader/>
          <w:jc w:val="center"/>
        </w:trPr>
        <w:tc>
          <w:tcPr>
            <w:tcW w:w="3101" w:type="dxa"/>
            <w:tcBorders>
              <w:top w:val="single" w:sz="8" w:space="0" w:color="CF7B79"/>
              <w:left w:val="single" w:sz="8" w:space="0" w:color="CF7B79"/>
              <w:bottom w:val="single" w:sz="8" w:space="0" w:color="CF7B79"/>
              <w:right w:val="nil"/>
            </w:tcBorders>
            <w:shd w:val="clear" w:color="auto" w:fill="C0504D"/>
          </w:tcPr>
          <w:p w:rsidR="00147559" w:rsidRPr="00F64639" w:rsidRDefault="00147559" w:rsidP="002F783E">
            <w:pPr>
              <w:pStyle w:val="HUNNormal"/>
              <w:tabs>
                <w:tab w:val="left" w:pos="709"/>
              </w:tabs>
              <w:rPr>
                <w:b/>
                <w:bCs/>
                <w:color w:val="FFFFFF"/>
              </w:rPr>
            </w:pPr>
            <w:proofErr w:type="spellStart"/>
            <w:r w:rsidRPr="00F64639">
              <w:rPr>
                <w:b/>
                <w:bCs/>
                <w:color w:val="FFFFFF"/>
              </w:rPr>
              <w:lastRenderedPageBreak/>
              <w:t>Gépkatalogus</w:t>
            </w:r>
            <w:proofErr w:type="spellEnd"/>
            <w:r w:rsidRPr="00F64639">
              <w:rPr>
                <w:b/>
                <w:bCs/>
                <w:color w:val="FFFFFF"/>
              </w:rPr>
              <w:t xml:space="preserve"> kategória</w:t>
            </w:r>
          </w:p>
        </w:tc>
        <w:tc>
          <w:tcPr>
            <w:tcW w:w="3101" w:type="dxa"/>
            <w:tcBorders>
              <w:top w:val="single" w:sz="8" w:space="0" w:color="CF7B79"/>
              <w:left w:val="nil"/>
              <w:bottom w:val="single" w:sz="8" w:space="0" w:color="CF7B79"/>
              <w:right w:val="single" w:sz="8" w:space="0" w:color="CF7B79"/>
            </w:tcBorders>
            <w:shd w:val="clear" w:color="auto" w:fill="C0504D"/>
          </w:tcPr>
          <w:p w:rsidR="00147559" w:rsidRPr="00F64639" w:rsidRDefault="00147559" w:rsidP="002F783E">
            <w:pPr>
              <w:pStyle w:val="HUNNormal"/>
              <w:tabs>
                <w:tab w:val="left" w:pos="709"/>
              </w:tabs>
              <w:jc w:val="center"/>
              <w:rPr>
                <w:b/>
                <w:bCs/>
                <w:color w:val="FFFFFF"/>
              </w:rPr>
            </w:pPr>
            <w:r w:rsidRPr="00F64639">
              <w:rPr>
                <w:b/>
                <w:bCs/>
                <w:color w:val="FFFFFF"/>
              </w:rPr>
              <w:t>Megítélt támogatási összeg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Traktorok</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6 589 043 022 Ft</w:t>
            </w:r>
          </w:p>
        </w:tc>
      </w:tr>
      <w:tr w:rsidR="00147559" w:rsidRPr="00F64639" w:rsidTr="002F783E">
        <w:trPr>
          <w:jc w:val="center"/>
        </w:trPr>
        <w:tc>
          <w:tcPr>
            <w:tcW w:w="3101" w:type="dxa"/>
            <w:tcBorders>
              <w:right w:val="nil"/>
            </w:tcBorders>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Magajáró betakarítók</w:t>
            </w:r>
          </w:p>
        </w:tc>
        <w:tc>
          <w:tcPr>
            <w:tcW w:w="3101" w:type="dxa"/>
            <w:tcBorders>
              <w:left w:val="nil"/>
            </w:tcBorders>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979 920 130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Betakarítógépek, adapterek</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473 884 599 Ft</w:t>
            </w:r>
          </w:p>
        </w:tc>
      </w:tr>
      <w:tr w:rsidR="00147559" w:rsidRPr="00F64639" w:rsidTr="002F783E">
        <w:trPr>
          <w:jc w:val="center"/>
        </w:trPr>
        <w:tc>
          <w:tcPr>
            <w:tcW w:w="3101" w:type="dxa"/>
            <w:tcBorders>
              <w:right w:val="nil"/>
            </w:tcBorders>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Álló- és vegyes munkák gépei</w:t>
            </w:r>
          </w:p>
        </w:tc>
        <w:tc>
          <w:tcPr>
            <w:tcW w:w="3101" w:type="dxa"/>
            <w:tcBorders>
              <w:left w:val="nil"/>
            </w:tcBorders>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385 849 485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proofErr w:type="spellStart"/>
            <w:r w:rsidRPr="00F64639">
              <w:rPr>
                <w:rFonts w:cs="Arial"/>
                <w:bCs/>
                <w:color w:val="000000"/>
                <w:sz w:val="18"/>
                <w:szCs w:val="18"/>
              </w:rPr>
              <w:t>Növényvédőgépek</w:t>
            </w:r>
            <w:proofErr w:type="spellEnd"/>
            <w:r w:rsidRPr="00F64639">
              <w:rPr>
                <w:rFonts w:cs="Arial"/>
                <w:bCs/>
                <w:color w:val="000000"/>
                <w:sz w:val="18"/>
                <w:szCs w:val="18"/>
              </w:rPr>
              <w:t>, műtrágya és sze</w:t>
            </w:r>
            <w:r w:rsidRPr="00F64639">
              <w:rPr>
                <w:rFonts w:cs="Arial"/>
                <w:bCs/>
                <w:color w:val="000000"/>
                <w:sz w:val="18"/>
                <w:szCs w:val="18"/>
              </w:rPr>
              <w:t>r</w:t>
            </w:r>
            <w:r w:rsidRPr="00F64639">
              <w:rPr>
                <w:rFonts w:cs="Arial"/>
                <w:bCs/>
                <w:color w:val="000000"/>
                <w:sz w:val="18"/>
                <w:szCs w:val="18"/>
              </w:rPr>
              <w:t>ves trágya</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340 840 136 Ft</w:t>
            </w:r>
          </w:p>
        </w:tc>
      </w:tr>
      <w:tr w:rsidR="00147559" w:rsidRPr="00F64639" w:rsidTr="002F783E">
        <w:trPr>
          <w:jc w:val="center"/>
        </w:trPr>
        <w:tc>
          <w:tcPr>
            <w:tcW w:w="3101" w:type="dxa"/>
            <w:tcBorders>
              <w:right w:val="nil"/>
            </w:tcBorders>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Talajművelő- és földművelőgépek</w:t>
            </w:r>
          </w:p>
        </w:tc>
        <w:tc>
          <w:tcPr>
            <w:tcW w:w="3101" w:type="dxa"/>
            <w:tcBorders>
              <w:left w:val="nil"/>
            </w:tcBorders>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210 090 798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Tisztító- manipuláló- és feldolgozóg</w:t>
            </w:r>
            <w:r w:rsidRPr="00F64639">
              <w:rPr>
                <w:rFonts w:cs="Arial"/>
                <w:bCs/>
                <w:color w:val="000000"/>
                <w:sz w:val="18"/>
                <w:szCs w:val="18"/>
              </w:rPr>
              <w:t>é</w:t>
            </w:r>
            <w:r w:rsidRPr="00F64639">
              <w:rPr>
                <w:rFonts w:cs="Arial"/>
                <w:bCs/>
                <w:color w:val="000000"/>
                <w:sz w:val="18"/>
                <w:szCs w:val="18"/>
              </w:rPr>
              <w:t>pek</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209 346 728 Ft</w:t>
            </w:r>
          </w:p>
        </w:tc>
      </w:tr>
      <w:tr w:rsidR="00147559" w:rsidRPr="00F64639" w:rsidTr="002F783E">
        <w:trPr>
          <w:jc w:val="center"/>
        </w:trPr>
        <w:tc>
          <w:tcPr>
            <w:tcW w:w="3101" w:type="dxa"/>
            <w:tcBorders>
              <w:right w:val="nil"/>
            </w:tcBorders>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Öntözés gépei, berendezései</w:t>
            </w:r>
          </w:p>
        </w:tc>
        <w:tc>
          <w:tcPr>
            <w:tcW w:w="3101" w:type="dxa"/>
            <w:tcBorders>
              <w:left w:val="nil"/>
            </w:tcBorders>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163 974 142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Egyéb magajáró gépek</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160 680 714 Ft</w:t>
            </w:r>
          </w:p>
        </w:tc>
      </w:tr>
      <w:tr w:rsidR="00147559" w:rsidRPr="00F64639" w:rsidTr="002F783E">
        <w:trPr>
          <w:jc w:val="center"/>
        </w:trPr>
        <w:tc>
          <w:tcPr>
            <w:tcW w:w="3101" w:type="dxa"/>
            <w:tcBorders>
              <w:right w:val="nil"/>
            </w:tcBorders>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Növénytermelés és feldolgozás egyéb gépei</w:t>
            </w:r>
          </w:p>
        </w:tc>
        <w:tc>
          <w:tcPr>
            <w:tcW w:w="3101" w:type="dxa"/>
            <w:tcBorders>
              <w:left w:val="nil"/>
            </w:tcBorders>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137 603 938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Anyagmozgató gépek</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120 399 650 Ft</w:t>
            </w:r>
          </w:p>
        </w:tc>
      </w:tr>
      <w:tr w:rsidR="00147559" w:rsidRPr="00F64639" w:rsidTr="002F783E">
        <w:trPr>
          <w:jc w:val="center"/>
        </w:trPr>
        <w:tc>
          <w:tcPr>
            <w:tcW w:w="3101" w:type="dxa"/>
            <w:tcBorders>
              <w:right w:val="nil"/>
            </w:tcBorders>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Vető- és ültetőgépek</w:t>
            </w:r>
          </w:p>
        </w:tc>
        <w:tc>
          <w:tcPr>
            <w:tcW w:w="3101" w:type="dxa"/>
            <w:tcBorders>
              <w:left w:val="nil"/>
            </w:tcBorders>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108 900 789 Ft</w:t>
            </w:r>
          </w:p>
        </w:tc>
      </w:tr>
      <w:tr w:rsidR="00147559" w:rsidRPr="00F64639" w:rsidTr="002F783E">
        <w:trPr>
          <w:jc w:val="center"/>
        </w:trPr>
        <w:tc>
          <w:tcPr>
            <w:tcW w:w="3101" w:type="dxa"/>
            <w:tcBorders>
              <w:right w:val="nil"/>
            </w:tcBorders>
            <w:shd w:val="clear" w:color="auto" w:fill="EFD3D2"/>
            <w:vAlign w:val="bottom"/>
          </w:tcPr>
          <w:p w:rsidR="00147559" w:rsidRPr="00F64639" w:rsidRDefault="00147559" w:rsidP="002F783E">
            <w:pPr>
              <w:spacing w:after="60" w:line="240" w:lineRule="auto"/>
              <w:rPr>
                <w:rFonts w:cs="Arial"/>
                <w:b/>
                <w:bCs/>
                <w:color w:val="000000"/>
                <w:sz w:val="18"/>
                <w:szCs w:val="18"/>
              </w:rPr>
            </w:pPr>
            <w:r w:rsidRPr="00F64639">
              <w:rPr>
                <w:rFonts w:cs="Arial"/>
                <w:bCs/>
                <w:color w:val="000000"/>
                <w:sz w:val="18"/>
                <w:szCs w:val="18"/>
              </w:rPr>
              <w:t>Egyéb majori gépek, műszerek</w:t>
            </w:r>
          </w:p>
        </w:tc>
        <w:tc>
          <w:tcPr>
            <w:tcW w:w="3101" w:type="dxa"/>
            <w:tcBorders>
              <w:left w:val="nil"/>
            </w:tcBorders>
            <w:shd w:val="clear" w:color="auto" w:fill="EFD3D2"/>
            <w:vAlign w:val="bottom"/>
          </w:tcPr>
          <w:p w:rsidR="00147559" w:rsidRPr="00F64639" w:rsidRDefault="00147559" w:rsidP="002F783E">
            <w:pPr>
              <w:spacing w:after="60" w:line="240" w:lineRule="auto"/>
              <w:jc w:val="center"/>
              <w:rPr>
                <w:rFonts w:cs="Arial"/>
                <w:color w:val="000000"/>
                <w:sz w:val="18"/>
                <w:szCs w:val="18"/>
              </w:rPr>
            </w:pPr>
            <w:r w:rsidRPr="00F64639">
              <w:rPr>
                <w:rFonts w:cs="Arial"/>
                <w:color w:val="000000"/>
                <w:sz w:val="18"/>
                <w:szCs w:val="18"/>
              </w:rPr>
              <w:t>83 570 585 Ft</w:t>
            </w:r>
          </w:p>
        </w:tc>
      </w:tr>
    </w:tbl>
    <w:p w:rsidR="004A0BC4" w:rsidRPr="00F64639" w:rsidRDefault="00075A29" w:rsidP="00D35A46">
      <w:pPr>
        <w:pStyle w:val="Caption"/>
        <w:spacing w:before="60" w:after="120" w:line="280" w:lineRule="atLeast"/>
        <w:jc w:val="center"/>
        <w:rPr>
          <w:bCs w:val="0"/>
          <w:color w:val="auto"/>
          <w:szCs w:val="20"/>
        </w:rPr>
      </w:pPr>
      <w:r w:rsidRPr="00F64639">
        <w:rPr>
          <w:bCs w:val="0"/>
          <w:color w:val="auto"/>
          <w:szCs w:val="20"/>
        </w:rPr>
        <w:fldChar w:fldCharType="begin"/>
      </w:r>
      <w:r w:rsidR="004F56B8" w:rsidRPr="00F64639">
        <w:rPr>
          <w:bCs w:val="0"/>
          <w:color w:val="auto"/>
          <w:szCs w:val="20"/>
        </w:rPr>
        <w:instrText xml:space="preserve"> SEQ táblázat \* ARABIC </w:instrText>
      </w:r>
      <w:r w:rsidRPr="00F64639">
        <w:rPr>
          <w:bCs w:val="0"/>
          <w:color w:val="auto"/>
          <w:szCs w:val="20"/>
        </w:rPr>
        <w:fldChar w:fldCharType="separate"/>
      </w:r>
      <w:r w:rsidR="00E30745" w:rsidRPr="00F64639">
        <w:rPr>
          <w:bCs w:val="0"/>
          <w:noProof/>
          <w:color w:val="auto"/>
          <w:szCs w:val="20"/>
        </w:rPr>
        <w:t>6</w:t>
      </w:r>
      <w:r w:rsidRPr="00F64639">
        <w:rPr>
          <w:bCs w:val="0"/>
          <w:color w:val="auto"/>
          <w:szCs w:val="20"/>
        </w:rPr>
        <w:fldChar w:fldCharType="end"/>
      </w:r>
      <w:r w:rsidR="004F56B8" w:rsidRPr="00F64639">
        <w:rPr>
          <w:bCs w:val="0"/>
          <w:color w:val="auto"/>
          <w:szCs w:val="20"/>
        </w:rPr>
        <w:t xml:space="preserve">. táblázat: A </w:t>
      </w:r>
      <w:r w:rsidR="00BC66C9" w:rsidRPr="00F64639">
        <w:rPr>
          <w:bCs w:val="0"/>
          <w:color w:val="auto"/>
          <w:szCs w:val="20"/>
        </w:rPr>
        <w:t>kertészeti</w:t>
      </w:r>
      <w:r w:rsidR="00D35A46" w:rsidRPr="00F64639">
        <w:rPr>
          <w:bCs w:val="0"/>
          <w:color w:val="auto"/>
          <w:szCs w:val="20"/>
        </w:rPr>
        <w:t xml:space="preserve"> eszközök beszerzésére megítélt támogatási összeg</w:t>
      </w:r>
    </w:p>
    <w:p w:rsidR="00604828" w:rsidRPr="00F64639" w:rsidRDefault="00604828" w:rsidP="00604828">
      <w:pPr>
        <w:pStyle w:val="HUNNormal"/>
        <w:tabs>
          <w:tab w:val="left" w:pos="709"/>
        </w:tabs>
      </w:pPr>
      <w:r w:rsidRPr="00F64639">
        <w:t xml:space="preserve">A projektek átlagosan </w:t>
      </w:r>
      <w:r w:rsidR="00971015" w:rsidRPr="00F64639">
        <w:t xml:space="preserve">5 122 555 </w:t>
      </w:r>
      <w:r w:rsidR="0022006B" w:rsidRPr="00F64639">
        <w:t>Ft</w:t>
      </w:r>
      <w:r w:rsidRPr="00F64639">
        <w:t xml:space="preserve"> támogatást kaptak</w:t>
      </w:r>
      <w:r w:rsidR="00B95805" w:rsidRPr="00F64639">
        <w:t xml:space="preserve">. </w:t>
      </w:r>
      <w:proofErr w:type="gramStart"/>
      <w:r w:rsidR="00B95805" w:rsidRPr="00F64639">
        <w:t>A megítélt támogatási összegeket vizsgálva megá</w:t>
      </w:r>
      <w:r w:rsidR="00B95805" w:rsidRPr="00F64639">
        <w:t>l</w:t>
      </w:r>
      <w:r w:rsidR="00B95805" w:rsidRPr="00F64639">
        <w:t xml:space="preserve">lapítható, hogy a támogatottak alsó </w:t>
      </w:r>
      <w:proofErr w:type="spellStart"/>
      <w:r w:rsidR="00B95805" w:rsidRPr="00F64639">
        <w:t>kvartilisébe</w:t>
      </w:r>
      <w:proofErr w:type="spellEnd"/>
      <w:r w:rsidR="00B95805" w:rsidRPr="00F64639">
        <w:t xml:space="preserve"> (a támogatottak 25%-a, akik a legkevesebb támogatást ka</w:t>
      </w:r>
      <w:r w:rsidR="00B95805" w:rsidRPr="00F64639">
        <w:t>p</w:t>
      </w:r>
      <w:r w:rsidR="00B95805" w:rsidRPr="00F64639">
        <w:t xml:space="preserve">ták) tartozó kedvezményezettek átlagosan 1 324 179 Ft-ot, a középső két </w:t>
      </w:r>
      <w:proofErr w:type="spellStart"/>
      <w:r w:rsidR="00B95805" w:rsidRPr="00F64639">
        <w:t>kvartilisbe</w:t>
      </w:r>
      <w:proofErr w:type="spellEnd"/>
      <w:r w:rsidR="00B95805" w:rsidRPr="00F64639">
        <w:t xml:space="preserve"> tartozók rendre átlag</w:t>
      </w:r>
      <w:r w:rsidR="00B95805" w:rsidRPr="00F64639">
        <w:t>o</w:t>
      </w:r>
      <w:r w:rsidR="00B95805" w:rsidRPr="00F64639">
        <w:t xml:space="preserve">san 2 723 430 Ft-ot és 4 514 107 Ft-ot, míg a legfelső </w:t>
      </w:r>
      <w:proofErr w:type="spellStart"/>
      <w:r w:rsidR="00B95805" w:rsidRPr="00F64639">
        <w:t>kvartilisbe</w:t>
      </w:r>
      <w:proofErr w:type="spellEnd"/>
      <w:r w:rsidR="00B95805" w:rsidRPr="00F64639">
        <w:t xml:space="preserve"> (a támogatottak 25%-a, akik a legtöbb támogatást kapták) </w:t>
      </w:r>
      <w:r w:rsidR="003B3C6C" w:rsidRPr="00F64639">
        <w:t>tartozó kedvezményezettek átlagosan 11 935 001 Ft-ot kaptak.</w:t>
      </w:r>
      <w:proofErr w:type="gramEnd"/>
    </w:p>
    <w:tbl>
      <w:tblPr>
        <w:tblW w:w="7993" w:type="dxa"/>
        <w:jc w:val="center"/>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4253"/>
        <w:gridCol w:w="1275"/>
        <w:gridCol w:w="1134"/>
        <w:gridCol w:w="1331"/>
      </w:tblGrid>
      <w:tr w:rsidR="000E2F1A" w:rsidRPr="00F64639" w:rsidTr="00E60698">
        <w:trPr>
          <w:tblHeader/>
          <w:jc w:val="center"/>
        </w:trPr>
        <w:tc>
          <w:tcPr>
            <w:tcW w:w="4253" w:type="dxa"/>
            <w:vMerge w:val="restart"/>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bCs/>
                <w:color w:val="FFFFFF"/>
              </w:rPr>
            </w:pPr>
            <w:r w:rsidRPr="00F64639">
              <w:rPr>
                <w:b/>
                <w:bCs/>
                <w:color w:val="FFFFFF"/>
              </w:rPr>
              <w:t>Kiválasztott főbb gépcsoportok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bCs/>
                <w:color w:val="FFFFFF"/>
              </w:rPr>
            </w:pPr>
            <w:r w:rsidRPr="00F64639">
              <w:rPr>
                <w:b/>
                <w:bCs/>
                <w:color w:val="FFFFFF"/>
              </w:rPr>
              <w:t>Környezeti besorolás</w:t>
            </w:r>
          </w:p>
        </w:tc>
        <w:tc>
          <w:tcPr>
            <w:tcW w:w="1331" w:type="dxa"/>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bCs/>
                <w:color w:val="FFFFFF"/>
              </w:rPr>
            </w:pPr>
          </w:p>
        </w:tc>
      </w:tr>
      <w:tr w:rsidR="000E2F1A" w:rsidRPr="00F64639" w:rsidTr="00E60698">
        <w:trPr>
          <w:tblHeader/>
          <w:jc w:val="center"/>
        </w:trPr>
        <w:tc>
          <w:tcPr>
            <w:tcW w:w="4253" w:type="dxa"/>
            <w:vMerge/>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bCs/>
                <w:color w:val="FFFFFF"/>
              </w:rPr>
            </w:pPr>
          </w:p>
        </w:tc>
        <w:tc>
          <w:tcPr>
            <w:tcW w:w="1275" w:type="dxa"/>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color w:val="FFFFFF"/>
              </w:rPr>
            </w:pPr>
            <w:r w:rsidRPr="00F64639">
              <w:rPr>
                <w:b/>
                <w:color w:val="FFFFFF"/>
              </w:rPr>
              <w:t>0</w:t>
            </w:r>
          </w:p>
        </w:tc>
        <w:tc>
          <w:tcPr>
            <w:tcW w:w="1134" w:type="dxa"/>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color w:val="FFFFFF"/>
              </w:rPr>
            </w:pPr>
            <w:r w:rsidRPr="00F64639">
              <w:rPr>
                <w:b/>
                <w:color w:val="FFFFFF"/>
              </w:rPr>
              <w:t>1</w:t>
            </w:r>
          </w:p>
        </w:tc>
        <w:tc>
          <w:tcPr>
            <w:tcW w:w="1331" w:type="dxa"/>
            <w:tcBorders>
              <w:top w:val="single" w:sz="4" w:space="0" w:color="auto"/>
              <w:left w:val="single" w:sz="4" w:space="0" w:color="auto"/>
              <w:bottom w:val="single" w:sz="4" w:space="0" w:color="auto"/>
              <w:right w:val="single" w:sz="4" w:space="0" w:color="auto"/>
            </w:tcBorders>
            <w:shd w:val="clear" w:color="auto" w:fill="C0504D"/>
          </w:tcPr>
          <w:p w:rsidR="009916B5" w:rsidRPr="00F64639" w:rsidRDefault="009916B5" w:rsidP="002F783E">
            <w:pPr>
              <w:pStyle w:val="HUNNormal"/>
              <w:tabs>
                <w:tab w:val="left" w:pos="709"/>
              </w:tabs>
              <w:rPr>
                <w:b/>
                <w:color w:val="FFFFFF"/>
              </w:rPr>
            </w:pPr>
            <w:r w:rsidRPr="00F64639">
              <w:rPr>
                <w:b/>
                <w:color w:val="FFFFFF"/>
              </w:rPr>
              <w:t>Összesen</w:t>
            </w:r>
          </w:p>
        </w:tc>
      </w:tr>
      <w:tr w:rsidR="000E2F1A" w:rsidRPr="00F64639" w:rsidTr="002F783E">
        <w:trPr>
          <w:jc w:val="center"/>
        </w:trPr>
        <w:tc>
          <w:tcPr>
            <w:tcW w:w="4253" w:type="dxa"/>
            <w:tcBorders>
              <w:top w:val="single" w:sz="4" w:space="0" w:color="auto"/>
              <w:right w:val="nil"/>
            </w:tcBorders>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Növénytermelés és feldolgozás egyéb gépei</w:t>
            </w:r>
          </w:p>
        </w:tc>
        <w:tc>
          <w:tcPr>
            <w:tcW w:w="1275" w:type="dxa"/>
            <w:tcBorders>
              <w:top w:val="single" w:sz="4" w:space="0" w:color="auto"/>
              <w:left w:val="nil"/>
              <w:right w:val="nil"/>
            </w:tcBorders>
          </w:tcPr>
          <w:p w:rsidR="009916B5" w:rsidRPr="00F64639" w:rsidRDefault="009916B5" w:rsidP="002F783E">
            <w:pPr>
              <w:jc w:val="center"/>
              <w:rPr>
                <w:rFonts w:ascii="Arial" w:hAnsi="Arial" w:cs="Arial"/>
                <w:color w:val="000000"/>
                <w:sz w:val="16"/>
                <w:szCs w:val="16"/>
              </w:rPr>
            </w:pPr>
          </w:p>
        </w:tc>
        <w:tc>
          <w:tcPr>
            <w:tcW w:w="1134" w:type="dxa"/>
            <w:tcBorders>
              <w:top w:val="single" w:sz="4" w:space="0" w:color="auto"/>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4 528</w:t>
            </w:r>
          </w:p>
        </w:tc>
        <w:tc>
          <w:tcPr>
            <w:tcW w:w="1331" w:type="dxa"/>
            <w:tcBorders>
              <w:top w:val="single" w:sz="4" w:space="0" w:color="auto"/>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4 528</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Öntözés gépei, berendezései</w:t>
            </w:r>
          </w:p>
        </w:tc>
        <w:tc>
          <w:tcPr>
            <w:tcW w:w="1275"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1 713</w:t>
            </w:r>
          </w:p>
        </w:tc>
        <w:tc>
          <w:tcPr>
            <w:tcW w:w="1134"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798</w:t>
            </w:r>
          </w:p>
        </w:tc>
        <w:tc>
          <w:tcPr>
            <w:tcW w:w="1331" w:type="dxa"/>
            <w:tcBorders>
              <w:lef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2 511</w:t>
            </w:r>
          </w:p>
        </w:tc>
      </w:tr>
      <w:tr w:rsidR="000E2F1A" w:rsidRPr="00F64639" w:rsidTr="002F783E">
        <w:trPr>
          <w:jc w:val="center"/>
        </w:trPr>
        <w:tc>
          <w:tcPr>
            <w:tcW w:w="4253" w:type="dxa"/>
            <w:tcBorders>
              <w:right w:val="nil"/>
            </w:tcBorders>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Traktorok</w:t>
            </w:r>
          </w:p>
        </w:tc>
        <w:tc>
          <w:tcPr>
            <w:tcW w:w="1275"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685</w:t>
            </w:r>
          </w:p>
        </w:tc>
        <w:tc>
          <w:tcPr>
            <w:tcW w:w="1134"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1 334</w:t>
            </w:r>
          </w:p>
        </w:tc>
        <w:tc>
          <w:tcPr>
            <w:tcW w:w="1331" w:type="dxa"/>
            <w:tcBorders>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2 019</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Álló- és vegyes munkák gépei</w:t>
            </w:r>
          </w:p>
        </w:tc>
        <w:tc>
          <w:tcPr>
            <w:tcW w:w="1275"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22</w:t>
            </w:r>
          </w:p>
        </w:tc>
        <w:tc>
          <w:tcPr>
            <w:tcW w:w="1134"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783</w:t>
            </w:r>
          </w:p>
        </w:tc>
        <w:tc>
          <w:tcPr>
            <w:tcW w:w="1331" w:type="dxa"/>
            <w:tcBorders>
              <w:lef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805</w:t>
            </w:r>
          </w:p>
        </w:tc>
      </w:tr>
      <w:tr w:rsidR="000E2F1A" w:rsidRPr="00F64639" w:rsidTr="002F783E">
        <w:trPr>
          <w:jc w:val="center"/>
        </w:trPr>
        <w:tc>
          <w:tcPr>
            <w:tcW w:w="4253" w:type="dxa"/>
            <w:tcBorders>
              <w:right w:val="nil"/>
            </w:tcBorders>
          </w:tcPr>
          <w:p w:rsidR="009916B5" w:rsidRPr="00F64639" w:rsidRDefault="009916B5" w:rsidP="002F783E">
            <w:pPr>
              <w:jc w:val="center"/>
              <w:rPr>
                <w:rFonts w:ascii="Arial" w:hAnsi="Arial" w:cs="Arial"/>
                <w:b/>
                <w:bCs/>
                <w:color w:val="000000"/>
                <w:sz w:val="16"/>
                <w:szCs w:val="16"/>
              </w:rPr>
            </w:pPr>
            <w:proofErr w:type="spellStart"/>
            <w:r w:rsidRPr="00F64639">
              <w:rPr>
                <w:rFonts w:ascii="Arial" w:hAnsi="Arial" w:cs="Arial"/>
                <w:b/>
                <w:bCs/>
                <w:color w:val="000000"/>
                <w:sz w:val="16"/>
                <w:szCs w:val="16"/>
              </w:rPr>
              <w:t>Növényvédőgépek</w:t>
            </w:r>
            <w:proofErr w:type="spellEnd"/>
            <w:r w:rsidRPr="00F64639">
              <w:rPr>
                <w:rFonts w:ascii="Arial" w:hAnsi="Arial" w:cs="Arial"/>
                <w:b/>
                <w:bCs/>
                <w:color w:val="000000"/>
                <w:sz w:val="16"/>
                <w:szCs w:val="16"/>
              </w:rPr>
              <w:t xml:space="preserve">, műtrágya és </w:t>
            </w:r>
            <w:proofErr w:type="spellStart"/>
            <w:r w:rsidRPr="00F64639">
              <w:rPr>
                <w:rFonts w:ascii="Arial" w:hAnsi="Arial" w:cs="Arial"/>
                <w:b/>
                <w:bCs/>
                <w:color w:val="000000"/>
                <w:sz w:val="16"/>
                <w:szCs w:val="16"/>
              </w:rPr>
              <w:t>szervestrágya</w:t>
            </w:r>
            <w:proofErr w:type="spellEnd"/>
            <w:r w:rsidRPr="00F64639">
              <w:rPr>
                <w:rFonts w:ascii="Arial" w:hAnsi="Arial" w:cs="Arial"/>
                <w:b/>
                <w:bCs/>
                <w:color w:val="000000"/>
                <w:sz w:val="16"/>
                <w:szCs w:val="16"/>
              </w:rPr>
              <w:t>…</w:t>
            </w:r>
          </w:p>
        </w:tc>
        <w:tc>
          <w:tcPr>
            <w:tcW w:w="1275"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16</w:t>
            </w:r>
          </w:p>
        </w:tc>
        <w:tc>
          <w:tcPr>
            <w:tcW w:w="1134"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464</w:t>
            </w:r>
          </w:p>
        </w:tc>
        <w:tc>
          <w:tcPr>
            <w:tcW w:w="1331" w:type="dxa"/>
            <w:tcBorders>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480</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Talajművelő- és földművelőgépek</w:t>
            </w:r>
          </w:p>
        </w:tc>
        <w:tc>
          <w:tcPr>
            <w:tcW w:w="1275"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33</w:t>
            </w:r>
          </w:p>
        </w:tc>
        <w:tc>
          <w:tcPr>
            <w:tcW w:w="1134"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388</w:t>
            </w:r>
          </w:p>
        </w:tc>
        <w:tc>
          <w:tcPr>
            <w:tcW w:w="1331" w:type="dxa"/>
            <w:tcBorders>
              <w:lef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421</w:t>
            </w:r>
          </w:p>
        </w:tc>
      </w:tr>
      <w:tr w:rsidR="000E2F1A" w:rsidRPr="00F64639" w:rsidTr="002F783E">
        <w:trPr>
          <w:jc w:val="center"/>
        </w:trPr>
        <w:tc>
          <w:tcPr>
            <w:tcW w:w="4253" w:type="dxa"/>
            <w:tcBorders>
              <w:right w:val="nil"/>
            </w:tcBorders>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Egyéb majori gépek, műszerek</w:t>
            </w:r>
          </w:p>
        </w:tc>
        <w:tc>
          <w:tcPr>
            <w:tcW w:w="1275" w:type="dxa"/>
            <w:tcBorders>
              <w:left w:val="nil"/>
              <w:right w:val="nil"/>
            </w:tcBorders>
          </w:tcPr>
          <w:p w:rsidR="009916B5" w:rsidRPr="00F64639" w:rsidRDefault="009916B5" w:rsidP="002F783E">
            <w:pPr>
              <w:jc w:val="center"/>
              <w:rPr>
                <w:rFonts w:ascii="Arial" w:hAnsi="Arial" w:cs="Arial"/>
                <w:color w:val="000000"/>
                <w:sz w:val="16"/>
                <w:szCs w:val="16"/>
              </w:rPr>
            </w:pPr>
          </w:p>
        </w:tc>
        <w:tc>
          <w:tcPr>
            <w:tcW w:w="1134"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222</w:t>
            </w:r>
          </w:p>
        </w:tc>
        <w:tc>
          <w:tcPr>
            <w:tcW w:w="1331" w:type="dxa"/>
            <w:tcBorders>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222</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lastRenderedPageBreak/>
              <w:t>Betakarítógépek, adapterek</w:t>
            </w:r>
          </w:p>
        </w:tc>
        <w:tc>
          <w:tcPr>
            <w:tcW w:w="1275"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67</w:t>
            </w:r>
          </w:p>
        </w:tc>
        <w:tc>
          <w:tcPr>
            <w:tcW w:w="1134"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153</w:t>
            </w:r>
          </w:p>
        </w:tc>
        <w:tc>
          <w:tcPr>
            <w:tcW w:w="1331" w:type="dxa"/>
            <w:tcBorders>
              <w:lef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220</w:t>
            </w:r>
          </w:p>
        </w:tc>
      </w:tr>
      <w:tr w:rsidR="000E2F1A" w:rsidRPr="00F64639" w:rsidTr="002F783E">
        <w:trPr>
          <w:jc w:val="center"/>
        </w:trPr>
        <w:tc>
          <w:tcPr>
            <w:tcW w:w="4253" w:type="dxa"/>
            <w:tcBorders>
              <w:right w:val="nil"/>
            </w:tcBorders>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Vető- és ültetőgépek</w:t>
            </w:r>
          </w:p>
        </w:tc>
        <w:tc>
          <w:tcPr>
            <w:tcW w:w="1275"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w:t>
            </w:r>
          </w:p>
        </w:tc>
        <w:tc>
          <w:tcPr>
            <w:tcW w:w="1134"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96</w:t>
            </w:r>
          </w:p>
        </w:tc>
        <w:tc>
          <w:tcPr>
            <w:tcW w:w="1331" w:type="dxa"/>
            <w:tcBorders>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103</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Tisztító- manipuláló- és feldolgozógépek</w:t>
            </w:r>
          </w:p>
        </w:tc>
        <w:tc>
          <w:tcPr>
            <w:tcW w:w="1275"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w:t>
            </w:r>
          </w:p>
        </w:tc>
        <w:tc>
          <w:tcPr>
            <w:tcW w:w="1134"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70</w:t>
            </w:r>
          </w:p>
        </w:tc>
        <w:tc>
          <w:tcPr>
            <w:tcW w:w="1331" w:type="dxa"/>
            <w:tcBorders>
              <w:lef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77</w:t>
            </w:r>
          </w:p>
        </w:tc>
      </w:tr>
      <w:tr w:rsidR="000E2F1A" w:rsidRPr="00F64639" w:rsidTr="002F783E">
        <w:trPr>
          <w:jc w:val="center"/>
        </w:trPr>
        <w:tc>
          <w:tcPr>
            <w:tcW w:w="4253" w:type="dxa"/>
            <w:tcBorders>
              <w:right w:val="nil"/>
            </w:tcBorders>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Egyéb magajáró gépek</w:t>
            </w:r>
          </w:p>
        </w:tc>
        <w:tc>
          <w:tcPr>
            <w:tcW w:w="1275"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11</w:t>
            </w:r>
          </w:p>
        </w:tc>
        <w:tc>
          <w:tcPr>
            <w:tcW w:w="1134"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63</w:t>
            </w:r>
          </w:p>
        </w:tc>
        <w:tc>
          <w:tcPr>
            <w:tcW w:w="1331" w:type="dxa"/>
            <w:tcBorders>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74</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Magajáró betakarítók</w:t>
            </w:r>
          </w:p>
        </w:tc>
        <w:tc>
          <w:tcPr>
            <w:tcW w:w="1275"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p>
        </w:tc>
        <w:tc>
          <w:tcPr>
            <w:tcW w:w="1134" w:type="dxa"/>
            <w:tcBorders>
              <w:left w:val="nil"/>
              <w:righ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54</w:t>
            </w:r>
          </w:p>
        </w:tc>
        <w:tc>
          <w:tcPr>
            <w:tcW w:w="1331" w:type="dxa"/>
            <w:tcBorders>
              <w:left w:val="nil"/>
            </w:tcBorders>
            <w:shd w:val="clear" w:color="auto" w:fill="EFD3D2"/>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54</w:t>
            </w:r>
          </w:p>
        </w:tc>
      </w:tr>
      <w:tr w:rsidR="000E2F1A" w:rsidRPr="00F64639" w:rsidTr="002F783E">
        <w:trPr>
          <w:jc w:val="center"/>
        </w:trPr>
        <w:tc>
          <w:tcPr>
            <w:tcW w:w="4253" w:type="dxa"/>
            <w:tcBorders>
              <w:right w:val="nil"/>
            </w:tcBorders>
          </w:tcPr>
          <w:p w:rsidR="009916B5" w:rsidRPr="00F64639" w:rsidRDefault="009916B5" w:rsidP="002F783E">
            <w:pPr>
              <w:jc w:val="center"/>
              <w:rPr>
                <w:rFonts w:ascii="Arial" w:hAnsi="Arial" w:cs="Arial"/>
                <w:b/>
                <w:bCs/>
                <w:color w:val="000000"/>
                <w:sz w:val="16"/>
                <w:szCs w:val="16"/>
              </w:rPr>
            </w:pPr>
            <w:r w:rsidRPr="00F64639">
              <w:rPr>
                <w:rFonts w:ascii="Arial" w:hAnsi="Arial" w:cs="Arial"/>
                <w:b/>
                <w:bCs/>
                <w:color w:val="000000"/>
                <w:sz w:val="16"/>
                <w:szCs w:val="16"/>
              </w:rPr>
              <w:t>Anyagmozgató gépek</w:t>
            </w:r>
          </w:p>
        </w:tc>
        <w:tc>
          <w:tcPr>
            <w:tcW w:w="1275"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9</w:t>
            </w:r>
          </w:p>
        </w:tc>
        <w:tc>
          <w:tcPr>
            <w:tcW w:w="1134" w:type="dxa"/>
            <w:tcBorders>
              <w:left w:val="nil"/>
              <w:righ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21</w:t>
            </w:r>
          </w:p>
        </w:tc>
        <w:tc>
          <w:tcPr>
            <w:tcW w:w="1331" w:type="dxa"/>
            <w:tcBorders>
              <w:left w:val="nil"/>
            </w:tcBorders>
          </w:tcPr>
          <w:p w:rsidR="009916B5" w:rsidRPr="00F64639" w:rsidRDefault="009916B5" w:rsidP="002F783E">
            <w:pPr>
              <w:jc w:val="center"/>
              <w:rPr>
                <w:rFonts w:ascii="Arial" w:hAnsi="Arial" w:cs="Arial"/>
                <w:color w:val="000000"/>
                <w:sz w:val="16"/>
                <w:szCs w:val="16"/>
              </w:rPr>
            </w:pPr>
            <w:r w:rsidRPr="00F64639">
              <w:rPr>
                <w:rFonts w:ascii="Arial" w:hAnsi="Arial" w:cs="Arial"/>
                <w:color w:val="000000"/>
                <w:sz w:val="16"/>
                <w:szCs w:val="16"/>
              </w:rPr>
              <w:t>30</w:t>
            </w:r>
          </w:p>
        </w:tc>
      </w:tr>
      <w:tr w:rsidR="000E2F1A" w:rsidRPr="00F64639" w:rsidTr="002F783E">
        <w:trPr>
          <w:jc w:val="center"/>
        </w:trPr>
        <w:tc>
          <w:tcPr>
            <w:tcW w:w="4253" w:type="dxa"/>
            <w:tcBorders>
              <w:right w:val="nil"/>
            </w:tcBorders>
            <w:shd w:val="clear" w:color="auto" w:fill="EFD3D2"/>
          </w:tcPr>
          <w:p w:rsidR="009916B5" w:rsidRPr="00F64639" w:rsidRDefault="009916B5" w:rsidP="002F783E">
            <w:pPr>
              <w:jc w:val="center"/>
              <w:rPr>
                <w:rFonts w:ascii="Arial" w:hAnsi="Arial" w:cs="Arial"/>
                <w:b/>
                <w:bCs/>
                <w:sz w:val="18"/>
                <w:szCs w:val="18"/>
              </w:rPr>
            </w:pPr>
            <w:r w:rsidRPr="00F64639">
              <w:rPr>
                <w:rFonts w:ascii="Arial" w:hAnsi="Arial" w:cs="Arial"/>
                <w:b/>
                <w:bCs/>
                <w:sz w:val="18"/>
                <w:szCs w:val="18"/>
              </w:rPr>
              <w:t>Összesen</w:t>
            </w:r>
          </w:p>
        </w:tc>
        <w:tc>
          <w:tcPr>
            <w:tcW w:w="1275" w:type="dxa"/>
            <w:tcBorders>
              <w:left w:val="nil"/>
              <w:right w:val="nil"/>
            </w:tcBorders>
            <w:shd w:val="clear" w:color="auto" w:fill="EFD3D2"/>
          </w:tcPr>
          <w:p w:rsidR="009916B5" w:rsidRPr="00F64639" w:rsidRDefault="009916B5" w:rsidP="002F783E">
            <w:pPr>
              <w:jc w:val="center"/>
              <w:rPr>
                <w:rFonts w:ascii="Arial" w:hAnsi="Arial" w:cs="Arial"/>
                <w:sz w:val="18"/>
                <w:szCs w:val="18"/>
              </w:rPr>
            </w:pPr>
            <w:r w:rsidRPr="00F64639">
              <w:rPr>
                <w:rFonts w:ascii="Arial" w:hAnsi="Arial" w:cs="Arial"/>
                <w:sz w:val="18"/>
                <w:szCs w:val="18"/>
              </w:rPr>
              <w:t xml:space="preserve"> 2 570</w:t>
            </w:r>
          </w:p>
        </w:tc>
        <w:tc>
          <w:tcPr>
            <w:tcW w:w="1134" w:type="dxa"/>
            <w:tcBorders>
              <w:left w:val="nil"/>
              <w:right w:val="nil"/>
            </w:tcBorders>
            <w:shd w:val="clear" w:color="auto" w:fill="EFD3D2"/>
          </w:tcPr>
          <w:p w:rsidR="009916B5" w:rsidRPr="00F64639" w:rsidRDefault="009916B5" w:rsidP="002F783E">
            <w:pPr>
              <w:jc w:val="center"/>
              <w:rPr>
                <w:rFonts w:ascii="Arial" w:hAnsi="Arial" w:cs="Arial"/>
                <w:sz w:val="18"/>
                <w:szCs w:val="18"/>
              </w:rPr>
            </w:pPr>
            <w:r w:rsidRPr="00F64639">
              <w:rPr>
                <w:rFonts w:ascii="Arial" w:hAnsi="Arial" w:cs="Arial"/>
                <w:sz w:val="18"/>
                <w:szCs w:val="18"/>
              </w:rPr>
              <w:t xml:space="preserve"> 8 974</w:t>
            </w:r>
          </w:p>
        </w:tc>
        <w:tc>
          <w:tcPr>
            <w:tcW w:w="1331" w:type="dxa"/>
            <w:tcBorders>
              <w:left w:val="nil"/>
            </w:tcBorders>
            <w:shd w:val="clear" w:color="auto" w:fill="EFD3D2"/>
          </w:tcPr>
          <w:p w:rsidR="009916B5" w:rsidRPr="00F64639" w:rsidRDefault="009916B5" w:rsidP="002F783E">
            <w:pPr>
              <w:jc w:val="center"/>
              <w:rPr>
                <w:rFonts w:ascii="Arial" w:hAnsi="Arial" w:cs="Arial"/>
                <w:sz w:val="18"/>
                <w:szCs w:val="18"/>
              </w:rPr>
            </w:pPr>
            <w:r w:rsidRPr="00F64639">
              <w:rPr>
                <w:rFonts w:ascii="Arial" w:hAnsi="Arial" w:cs="Arial"/>
                <w:sz w:val="18"/>
                <w:szCs w:val="18"/>
              </w:rPr>
              <w:t xml:space="preserve"> 11 543</w:t>
            </w:r>
          </w:p>
        </w:tc>
      </w:tr>
    </w:tbl>
    <w:p w:rsidR="00036150" w:rsidRPr="00F64639" w:rsidRDefault="00075A29" w:rsidP="00036150">
      <w:pPr>
        <w:pStyle w:val="Caption"/>
        <w:spacing w:before="60" w:after="120" w:line="280" w:lineRule="atLeast"/>
        <w:jc w:val="center"/>
        <w:rPr>
          <w:bCs w:val="0"/>
          <w:color w:val="auto"/>
          <w:szCs w:val="20"/>
        </w:rPr>
      </w:pPr>
      <w:r w:rsidRPr="00F64639">
        <w:rPr>
          <w:bCs w:val="0"/>
          <w:color w:val="auto"/>
          <w:szCs w:val="20"/>
        </w:rPr>
        <w:fldChar w:fldCharType="begin"/>
      </w:r>
      <w:r w:rsidR="00036150" w:rsidRPr="00F64639">
        <w:rPr>
          <w:bCs w:val="0"/>
          <w:color w:val="auto"/>
          <w:szCs w:val="20"/>
        </w:rPr>
        <w:instrText xml:space="preserve"> SEQ táblázat \* ARABIC </w:instrText>
      </w:r>
      <w:r w:rsidRPr="00F64639">
        <w:rPr>
          <w:bCs w:val="0"/>
          <w:color w:val="auto"/>
          <w:szCs w:val="20"/>
        </w:rPr>
        <w:fldChar w:fldCharType="separate"/>
      </w:r>
      <w:r w:rsidR="00E30745" w:rsidRPr="00F64639">
        <w:rPr>
          <w:bCs w:val="0"/>
          <w:noProof/>
          <w:color w:val="auto"/>
          <w:szCs w:val="20"/>
        </w:rPr>
        <w:t>7</w:t>
      </w:r>
      <w:r w:rsidRPr="00F64639">
        <w:rPr>
          <w:bCs w:val="0"/>
          <w:color w:val="auto"/>
          <w:szCs w:val="20"/>
        </w:rPr>
        <w:fldChar w:fldCharType="end"/>
      </w:r>
      <w:r w:rsidR="00036150" w:rsidRPr="00F64639">
        <w:rPr>
          <w:bCs w:val="0"/>
          <w:color w:val="auto"/>
          <w:szCs w:val="20"/>
        </w:rPr>
        <w:t>. táblázat: A kertészeti gépek megoszlása kategória és korszerűségi mutató szerint</w:t>
      </w:r>
    </w:p>
    <w:p w:rsidR="009916B5" w:rsidRPr="00F64639" w:rsidRDefault="009916B5" w:rsidP="009916B5">
      <w:pPr>
        <w:pStyle w:val="HUNNormal"/>
        <w:tabs>
          <w:tab w:val="left" w:pos="709"/>
        </w:tabs>
      </w:pPr>
      <w:r w:rsidRPr="00F64639">
        <w:t xml:space="preserve">A </w:t>
      </w:r>
      <w:r w:rsidR="00036150" w:rsidRPr="00F64639">
        <w:t>beszerzett gépek</w:t>
      </w:r>
      <w:r w:rsidRPr="00F64639">
        <w:t xml:space="preserve"> korszerűségi mutatóit vizsgálva megállapítható, hogy összessé</w:t>
      </w:r>
      <w:r w:rsidR="00036150" w:rsidRPr="00F64639">
        <w:t xml:space="preserve">gében 77,7 % </w:t>
      </w:r>
      <w:r w:rsidRPr="00F64639">
        <w:t>egyes mut</w:t>
      </w:r>
      <w:r w:rsidRPr="00F64639">
        <w:t>a</w:t>
      </w:r>
      <w:r w:rsidRPr="00F64639">
        <w:t>tóval rendelkezik és csupán 22,3 %</w:t>
      </w:r>
      <w:r w:rsidR="00036150" w:rsidRPr="00F64639">
        <w:t xml:space="preserve"> </w:t>
      </w:r>
      <w:r w:rsidRPr="00F64639">
        <w:t>nullással. (Említést érdemel, hogy a korszerűségi mutató megállapítását</w:t>
      </w:r>
      <w:r w:rsidR="00036150" w:rsidRPr="00F64639">
        <w:t xml:space="preserve"> </w:t>
      </w:r>
      <w:r w:rsidRPr="00F64639">
        <w:t>a szakértők rendkívül összetett vizsgálat során állapították meg, és a nullás mutatóval ellátott gépek</w:t>
      </w:r>
      <w:r w:rsidR="00036150" w:rsidRPr="00F64639">
        <w:t xml:space="preserve"> </w:t>
      </w:r>
      <w:r w:rsidRPr="00F64639">
        <w:t>is ko</w:t>
      </w:r>
      <w:r w:rsidRPr="00F64639">
        <w:t>r</w:t>
      </w:r>
      <w:r w:rsidRPr="00F64639">
        <w:t>sze</w:t>
      </w:r>
      <w:r w:rsidR="00036150" w:rsidRPr="00F64639">
        <w:t>rűne</w:t>
      </w:r>
      <w:r w:rsidRPr="00F64639">
        <w:t>k</w:t>
      </w:r>
      <w:r w:rsidR="00036150" w:rsidRPr="00F64639">
        <w:t xml:space="preserve"> minősíthetőek</w:t>
      </w:r>
      <w:r w:rsidRPr="00F64639">
        <w:t>, hiszen a Gépkatalógusba való bekerülés feltétele különböző EU-s és hazai előír</w:t>
      </w:r>
      <w:r w:rsidRPr="00F64639">
        <w:t>á</w:t>
      </w:r>
      <w:r w:rsidRPr="00F64639">
        <w:t>soknak való megfele</w:t>
      </w:r>
      <w:r w:rsidR="00036150" w:rsidRPr="00F64639">
        <w:t>lés</w:t>
      </w:r>
      <w:r w:rsidRPr="00F64639">
        <w:t>)</w:t>
      </w:r>
    </w:p>
    <w:p w:rsidR="00DA3280" w:rsidRPr="00F64639" w:rsidRDefault="00C23136" w:rsidP="006A14D3">
      <w:pPr>
        <w:pStyle w:val="HUNNormal"/>
        <w:tabs>
          <w:tab w:val="left" w:pos="709"/>
        </w:tabs>
      </w:pPr>
      <w:r w:rsidRPr="00F64639">
        <w:t xml:space="preserve">Ami az </w:t>
      </w:r>
      <w:r w:rsidRPr="00F64639">
        <w:rPr>
          <w:b/>
        </w:rPr>
        <w:t>átfutási időket</w:t>
      </w:r>
      <w:r w:rsidRPr="00F64639">
        <w:t xml:space="preserve"> illet, megállapítható, hogy a </w:t>
      </w:r>
      <w:r w:rsidRPr="00F64639">
        <w:rPr>
          <w:b/>
        </w:rPr>
        <w:t>támogatási</w:t>
      </w:r>
      <w:r w:rsidRPr="00F64639">
        <w:t xml:space="preserve"> kérelmek átlagos átfutási ideje </w:t>
      </w:r>
      <w:r w:rsidRPr="00F64639">
        <w:rPr>
          <w:b/>
        </w:rPr>
        <w:t>206 naptári nap</w:t>
      </w:r>
      <w:r w:rsidRPr="00F64639">
        <w:t xml:space="preserve">, a </w:t>
      </w:r>
      <w:r w:rsidRPr="00F64639">
        <w:rPr>
          <w:b/>
        </w:rPr>
        <w:t>kifizetési</w:t>
      </w:r>
      <w:r w:rsidRPr="00F64639">
        <w:t xml:space="preserve"> kérelmeké pedig </w:t>
      </w:r>
      <w:r w:rsidRPr="00F64639">
        <w:rPr>
          <w:b/>
        </w:rPr>
        <w:t>94 naptári nap</w:t>
      </w:r>
      <w:r w:rsidRPr="00F64639">
        <w:t>.</w:t>
      </w:r>
    </w:p>
    <w:p w:rsidR="00CE279B" w:rsidRPr="00F64639" w:rsidRDefault="00CE279B" w:rsidP="00E60698">
      <w:pPr>
        <w:pStyle w:val="HUNHeading4"/>
        <w:ind w:hanging="1728"/>
      </w:pPr>
      <w:r w:rsidRPr="00F64639">
        <w:t>Öntözés, melioráció, területi vízgazdálkodás</w:t>
      </w:r>
    </w:p>
    <w:p w:rsidR="00E247E1" w:rsidRDefault="00E247E1" w:rsidP="00E247E1">
      <w:pPr>
        <w:pStyle w:val="HUNNormal"/>
        <w:tabs>
          <w:tab w:val="left" w:pos="709"/>
        </w:tabs>
      </w:pPr>
      <w:r w:rsidRPr="00F64639">
        <w:t>Az Új Magyarország Vidékfejlesztési Program két külön intézkedés</w:t>
      </w:r>
      <w:r w:rsidR="001D05D9">
        <w:t xml:space="preserve">ből </w:t>
      </w:r>
      <w:r w:rsidR="00076131" w:rsidRPr="00F64639">
        <w:t xml:space="preserve">is </w:t>
      </w:r>
      <w:r w:rsidR="001D05D9">
        <w:t>finanszírozza</w:t>
      </w:r>
      <w:r w:rsidRPr="00F64639">
        <w:t xml:space="preserve"> az </w:t>
      </w:r>
      <w:r w:rsidRPr="00F64639">
        <w:rPr>
          <w:b/>
        </w:rPr>
        <w:t>Öntözés, melioráció, területi vízgazdálkodás</w:t>
      </w:r>
      <w:r w:rsidRPr="00F64639">
        <w:t xml:space="preserve"> jogcím</w:t>
      </w:r>
      <w:r w:rsidR="00076131" w:rsidRPr="00F64639">
        <w:t>et (121 és 125).</w:t>
      </w:r>
      <w:r w:rsidRPr="00F64639">
        <w:t xml:space="preserve"> </w:t>
      </w:r>
      <w:r w:rsidR="001D05D9">
        <w:t>A jogcímet</w:t>
      </w:r>
      <w:r w:rsidR="00CD5E38" w:rsidRPr="00F64639">
        <w:t xml:space="preserve"> a 125-ös intézkedésnél mutatjuk be.</w:t>
      </w:r>
    </w:p>
    <w:p w:rsidR="001D05D9" w:rsidRPr="00F64639" w:rsidRDefault="001D05D9" w:rsidP="00E247E1">
      <w:pPr>
        <w:pStyle w:val="HUNNormal"/>
        <w:tabs>
          <w:tab w:val="left" w:pos="709"/>
        </w:tabs>
      </w:pPr>
    </w:p>
    <w:p w:rsidR="00B02B51" w:rsidRPr="00F64639" w:rsidRDefault="00AC1FD2" w:rsidP="00E60698">
      <w:pPr>
        <w:pStyle w:val="HUNHeading4"/>
        <w:ind w:hanging="1728"/>
      </w:pPr>
      <w:r w:rsidRPr="00F64639">
        <w:t>Növénytermesztés létesít</w:t>
      </w:r>
      <w:r w:rsidR="004A0BC4" w:rsidRPr="00F64639">
        <w:t>mény</w:t>
      </w:r>
      <w:r w:rsidRPr="00F64639">
        <w:t>einek korszerűsítése</w:t>
      </w:r>
    </w:p>
    <w:p w:rsidR="006042A6" w:rsidRPr="00F64639" w:rsidRDefault="006042A6" w:rsidP="006042A6">
      <w:pPr>
        <w:pStyle w:val="HUNNormal"/>
        <w:tabs>
          <w:tab w:val="left" w:pos="709"/>
        </w:tabs>
      </w:pPr>
      <w:r w:rsidRPr="00F64639">
        <w:t xml:space="preserve">A jogcím célja </w:t>
      </w:r>
      <w:r w:rsidR="00C25BE9" w:rsidRPr="00F64639">
        <w:t>volt, hogy a támogatás révén:</w:t>
      </w:r>
    </w:p>
    <w:p w:rsidR="00C25BE9" w:rsidRPr="00F64639" w:rsidRDefault="00C25BE9" w:rsidP="00DF4BBF">
      <w:pPr>
        <w:pStyle w:val="HUNNormal"/>
        <w:numPr>
          <w:ilvl w:val="0"/>
          <w:numId w:val="26"/>
        </w:numPr>
        <w:tabs>
          <w:tab w:val="left" w:pos="709"/>
        </w:tabs>
      </w:pPr>
      <w:r w:rsidRPr="00F64639">
        <w:t>új terményszárítók és tisztítók vásárlásával javuljon az eszközállomány összetétele, korszerűsége;</w:t>
      </w:r>
    </w:p>
    <w:p w:rsidR="00C25BE9" w:rsidRPr="00F64639" w:rsidRDefault="00C25BE9" w:rsidP="00DF4BBF">
      <w:pPr>
        <w:pStyle w:val="HUNNormal"/>
        <w:numPr>
          <w:ilvl w:val="0"/>
          <w:numId w:val="26"/>
        </w:numPr>
        <w:tabs>
          <w:tab w:val="left" w:pos="709"/>
        </w:tabs>
      </w:pPr>
      <w:r w:rsidRPr="00F64639">
        <w:t>a létesítmény felújításával, új kiegészítő eszközök beszerzésével a létesítmény megfeleljen a kö</w:t>
      </w:r>
      <w:r w:rsidRPr="00F64639">
        <w:t>r</w:t>
      </w:r>
      <w:r w:rsidRPr="00F64639">
        <w:t>nyezetvédelmi, levegő-tisztaság védelmi előírásoknak;</w:t>
      </w:r>
    </w:p>
    <w:p w:rsidR="00C25BE9" w:rsidRDefault="00C25BE9" w:rsidP="00DF4BBF">
      <w:pPr>
        <w:pStyle w:val="HUNNormal"/>
        <w:numPr>
          <w:ilvl w:val="0"/>
          <w:numId w:val="26"/>
        </w:numPr>
        <w:tabs>
          <w:tab w:val="left" w:pos="709"/>
        </w:tabs>
      </w:pPr>
      <w:r w:rsidRPr="00F64639">
        <w:t>létesítmények felújításával csökkenjenek az üzemeltetési költségek, javuljon a kezelt termények minősége</w:t>
      </w:r>
      <w:r w:rsidR="00DA3280" w:rsidRPr="00F64639">
        <w:t>.</w:t>
      </w:r>
    </w:p>
    <w:p w:rsidR="001D05D9" w:rsidRPr="00F64639" w:rsidRDefault="001D05D9" w:rsidP="001D05D9">
      <w:pPr>
        <w:pStyle w:val="HUNNormal"/>
        <w:tabs>
          <w:tab w:val="left" w:pos="709"/>
        </w:tabs>
        <w:ind w:left="720"/>
      </w:pPr>
    </w:p>
    <w:p w:rsidR="006042A6" w:rsidRPr="00F64639" w:rsidRDefault="006042A6" w:rsidP="006042A6">
      <w:pPr>
        <w:pStyle w:val="HUNNormal"/>
        <w:tabs>
          <w:tab w:val="left" w:pos="709"/>
        </w:tabs>
      </w:pPr>
      <w:r w:rsidRPr="00F64639">
        <w:lastRenderedPageBreak/>
        <w:t xml:space="preserve">A következő táblázat szemlélteti a jogcím főbb </w:t>
      </w:r>
      <w:proofErr w:type="gramStart"/>
      <w:r w:rsidRPr="00F64639">
        <w:t>adatait</w:t>
      </w:r>
      <w:r w:rsidRPr="00F64639">
        <w:rPr>
          <w:rStyle w:val="FootnoteReference"/>
        </w:rPr>
        <w:footnoteReference w:id="36"/>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6042A6"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6042A6" w:rsidRPr="00F64639" w:rsidRDefault="006042A6"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6042A6" w:rsidRPr="00F64639" w:rsidRDefault="00DD095E" w:rsidP="000B0E4C">
            <w:pPr>
              <w:jc w:val="center"/>
              <w:rPr>
                <w:b/>
                <w:bCs/>
                <w:iCs/>
                <w:color w:val="FFFFFF"/>
                <w:szCs w:val="22"/>
              </w:rPr>
            </w:pPr>
            <w:r w:rsidRPr="00F64639">
              <w:rPr>
                <w:b/>
                <w:bCs/>
                <w:iCs/>
                <w:color w:val="FFFFFF"/>
                <w:szCs w:val="22"/>
              </w:rPr>
              <w:t>Növénytermesztés létesítményeinek korszer</w:t>
            </w:r>
            <w:r w:rsidRPr="00F64639">
              <w:rPr>
                <w:b/>
                <w:bCs/>
                <w:iCs/>
                <w:color w:val="FFFFFF"/>
                <w:szCs w:val="22"/>
              </w:rPr>
              <w:t>ű</w:t>
            </w:r>
            <w:r w:rsidRPr="00F64639">
              <w:rPr>
                <w:b/>
                <w:bCs/>
                <w:iCs/>
                <w:color w:val="FFFFFF"/>
                <w:szCs w:val="22"/>
              </w:rPr>
              <w:t>sítése</w:t>
            </w:r>
          </w:p>
        </w:tc>
      </w:tr>
      <w:tr w:rsidR="006042A6"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6042A6" w:rsidRPr="00F64639" w:rsidRDefault="006042A6"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6042A6" w:rsidRPr="00F64639" w:rsidRDefault="00604828" w:rsidP="000B0E4C">
            <w:pPr>
              <w:jc w:val="center"/>
              <w:rPr>
                <w:rFonts w:cs="Arial"/>
                <w:sz w:val="18"/>
                <w:szCs w:val="18"/>
              </w:rPr>
            </w:pPr>
            <w:r w:rsidRPr="00F64639">
              <w:rPr>
                <w:iCs/>
                <w:szCs w:val="22"/>
              </w:rPr>
              <w:t>intézkedés szinten került meghatározásra</w:t>
            </w:r>
          </w:p>
        </w:tc>
      </w:tr>
      <w:tr w:rsidR="006042A6" w:rsidRPr="00F64639" w:rsidTr="000B0E4C">
        <w:tc>
          <w:tcPr>
            <w:tcW w:w="2778" w:type="pct"/>
            <w:tcBorders>
              <w:left w:val="single" w:sz="8" w:space="0" w:color="FFFFFF"/>
              <w:bottom w:val="nil"/>
              <w:right w:val="single" w:sz="24" w:space="0" w:color="FFFFFF"/>
            </w:tcBorders>
            <w:shd w:val="clear" w:color="auto" w:fill="C0504D"/>
          </w:tcPr>
          <w:p w:rsidR="006042A6" w:rsidRPr="00F64639" w:rsidRDefault="006042A6"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6042A6" w:rsidRPr="00F64639" w:rsidRDefault="006042A6" w:rsidP="000B0E4C">
            <w:pPr>
              <w:jc w:val="center"/>
              <w:rPr>
                <w:iCs/>
                <w:szCs w:val="22"/>
              </w:rPr>
            </w:pPr>
            <w:r w:rsidRPr="00F64639">
              <w:rPr>
                <w:iCs/>
                <w:szCs w:val="22"/>
              </w:rPr>
              <w:t>691 db</w:t>
            </w:r>
          </w:p>
        </w:tc>
      </w:tr>
      <w:tr w:rsidR="006042A6"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6042A6" w:rsidRPr="00F64639" w:rsidRDefault="006042A6"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6042A6" w:rsidRPr="00F64639" w:rsidRDefault="006042A6" w:rsidP="000B0E4C">
            <w:pPr>
              <w:jc w:val="center"/>
              <w:rPr>
                <w:iCs/>
                <w:szCs w:val="22"/>
              </w:rPr>
            </w:pPr>
            <w:r w:rsidRPr="00F64639">
              <w:rPr>
                <w:iCs/>
                <w:szCs w:val="22"/>
              </w:rPr>
              <w:t>691 db</w:t>
            </w:r>
          </w:p>
        </w:tc>
      </w:tr>
      <w:tr w:rsidR="006042A6" w:rsidRPr="00F64639" w:rsidTr="000B0E4C">
        <w:tc>
          <w:tcPr>
            <w:tcW w:w="2778" w:type="pct"/>
            <w:tcBorders>
              <w:left w:val="single" w:sz="8" w:space="0" w:color="FFFFFF"/>
              <w:bottom w:val="nil"/>
              <w:right w:val="single" w:sz="24" w:space="0" w:color="FFFFFF"/>
            </w:tcBorders>
            <w:shd w:val="clear" w:color="auto" w:fill="C0504D"/>
          </w:tcPr>
          <w:p w:rsidR="006042A6" w:rsidRPr="00F64639" w:rsidRDefault="006042A6"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6042A6" w:rsidRPr="00F64639" w:rsidRDefault="006042A6" w:rsidP="000B0E4C">
            <w:pPr>
              <w:jc w:val="center"/>
              <w:rPr>
                <w:iCs/>
                <w:szCs w:val="22"/>
              </w:rPr>
            </w:pPr>
            <w:r w:rsidRPr="00F64639">
              <w:rPr>
                <w:iCs/>
                <w:szCs w:val="22"/>
              </w:rPr>
              <w:t>340 db</w:t>
            </w:r>
          </w:p>
        </w:tc>
      </w:tr>
      <w:tr w:rsidR="006042A6"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6042A6" w:rsidRPr="00F64639" w:rsidRDefault="006042A6"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6042A6" w:rsidRPr="00F64639" w:rsidRDefault="006042A6" w:rsidP="000B0E4C">
            <w:pPr>
              <w:jc w:val="center"/>
              <w:rPr>
                <w:iCs/>
                <w:szCs w:val="22"/>
              </w:rPr>
            </w:pPr>
            <w:r w:rsidRPr="00F64639">
              <w:rPr>
                <w:iCs/>
                <w:szCs w:val="22"/>
              </w:rPr>
              <w:t>30 422 822 976 Ft</w:t>
            </w:r>
            <w:r w:rsidRPr="00F64639">
              <w:rPr>
                <w:rStyle w:val="FootnoteReference"/>
                <w:iCs/>
                <w:szCs w:val="22"/>
              </w:rPr>
              <w:footnoteReference w:id="37"/>
            </w:r>
          </w:p>
        </w:tc>
      </w:tr>
      <w:tr w:rsidR="006042A6" w:rsidRPr="00F64639" w:rsidTr="000B0E4C">
        <w:tc>
          <w:tcPr>
            <w:tcW w:w="2778" w:type="pct"/>
            <w:tcBorders>
              <w:left w:val="single" w:sz="8" w:space="0" w:color="FFFFFF"/>
              <w:right w:val="single" w:sz="24" w:space="0" w:color="FFFFFF"/>
            </w:tcBorders>
            <w:shd w:val="clear" w:color="auto" w:fill="C0504D"/>
          </w:tcPr>
          <w:p w:rsidR="006042A6" w:rsidRPr="00F64639" w:rsidRDefault="006042A6" w:rsidP="00AB435B">
            <w:pPr>
              <w:jc w:val="center"/>
              <w:rPr>
                <w:b/>
                <w:bCs/>
                <w:iCs/>
                <w:szCs w:val="22"/>
              </w:rPr>
            </w:pPr>
            <w:r w:rsidRPr="00F64639">
              <w:rPr>
                <w:b/>
                <w:bCs/>
                <w:iCs/>
                <w:szCs w:val="22"/>
              </w:rPr>
              <w:t>Halmozott kifizetés (2010.06.30-ig)</w:t>
            </w:r>
          </w:p>
        </w:tc>
        <w:tc>
          <w:tcPr>
            <w:tcW w:w="2222" w:type="pct"/>
            <w:shd w:val="clear" w:color="auto" w:fill="EFD3D2"/>
          </w:tcPr>
          <w:p w:rsidR="006042A6" w:rsidRPr="00F64639" w:rsidRDefault="006042A6" w:rsidP="00AB435B">
            <w:pPr>
              <w:jc w:val="center"/>
            </w:pPr>
            <w:r w:rsidRPr="00F64639">
              <w:t xml:space="preserve">7 432 984 806 </w:t>
            </w:r>
            <w:r w:rsidRPr="00F64639">
              <w:rPr>
                <w:bCs/>
              </w:rPr>
              <w:t>Ft</w:t>
            </w:r>
            <w:r w:rsidRPr="00F64639">
              <w:rPr>
                <w:rStyle w:val="FootnoteReference"/>
                <w:iCs/>
                <w:szCs w:val="22"/>
              </w:rPr>
              <w:footnoteReference w:id="38"/>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8</w:t>
      </w:r>
      <w:r w:rsidRPr="00F64639">
        <w:rPr>
          <w:color w:val="auto"/>
        </w:rPr>
        <w:fldChar w:fldCharType="end"/>
      </w:r>
      <w:r w:rsidR="00AB435B" w:rsidRPr="00F64639">
        <w:rPr>
          <w:color w:val="auto"/>
        </w:rPr>
        <w:t>. táblázat: A jogcím általános jellemzői</w:t>
      </w:r>
    </w:p>
    <w:p w:rsidR="00036150" w:rsidRPr="00F64639" w:rsidRDefault="00036150" w:rsidP="00036150">
      <w:pPr>
        <w:jc w:val="both"/>
      </w:pPr>
      <w:r w:rsidRPr="00F64639">
        <w:t xml:space="preserve">A támogatás a </w:t>
      </w:r>
      <w:proofErr w:type="spellStart"/>
      <w:r w:rsidRPr="00F64639">
        <w:t>post-harvest</w:t>
      </w:r>
      <w:proofErr w:type="spellEnd"/>
      <w:r w:rsidRPr="00F64639">
        <w:t xml:space="preserve"> fázis stabil gépeinek korszerűsítéséhez lehetett igénybe venni, új gépek besze</w:t>
      </w:r>
      <w:r w:rsidRPr="00F64639">
        <w:t>r</w:t>
      </w:r>
      <w:r w:rsidRPr="00F64639">
        <w:t xml:space="preserve">zésére, illetve a </w:t>
      </w:r>
      <w:proofErr w:type="gramStart"/>
      <w:r w:rsidRPr="00F64639">
        <w:t>meglévő</w:t>
      </w:r>
      <w:proofErr w:type="gramEnd"/>
      <w:r w:rsidRPr="00F64639">
        <w:t xml:space="preserve"> eszközök rekonstrukciójára. Ezen belül különös hangsúlyt kap a terményszárítók és –tisztítók korszerűsítése. Az intézkedés keretében támogathatóak voltak még a kapcsolódó majori létesí</w:t>
      </w:r>
      <w:r w:rsidRPr="00F64639">
        <w:t>t</w:t>
      </w:r>
      <w:r w:rsidRPr="00F64639">
        <w:t>mények, úgymint előtét-tároló, tranzittartály, hídmérleg, fogadógarat, vezérlőépület, a létesítményeket ö</w:t>
      </w:r>
      <w:r w:rsidRPr="00F64639">
        <w:t>s</w:t>
      </w:r>
      <w:r w:rsidRPr="00F64639">
        <w:t>szekötő majoron belüli infrastruktúra, valamint a terménytárolók felújítása.</w:t>
      </w:r>
    </w:p>
    <w:p w:rsidR="00036150" w:rsidRPr="00F64639" w:rsidRDefault="00036150" w:rsidP="00036150">
      <w:pPr>
        <w:pStyle w:val="HUNNormal"/>
        <w:tabs>
          <w:tab w:val="left" w:pos="709"/>
        </w:tabs>
      </w:pPr>
      <w:r w:rsidRPr="00F64639">
        <w:t>A felújítás nem eredményezhetett kapacitásbővítést, illetve nem lehetett mobil eszközöket, vagy 100 m</w:t>
      </w:r>
      <w:r w:rsidRPr="00F64639">
        <w:rPr>
          <w:vertAlign w:val="superscript"/>
        </w:rPr>
        <w:t>3</w:t>
      </w:r>
      <w:r w:rsidRPr="00F64639">
        <w:t>-t meghaladó tranzittárolót, illetve 50 m</w:t>
      </w:r>
      <w:r w:rsidRPr="00F64639">
        <w:rPr>
          <w:vertAlign w:val="superscript"/>
        </w:rPr>
        <w:t>2</w:t>
      </w:r>
      <w:r w:rsidRPr="00F64639">
        <w:t>-t meghaladó minőségellenőrző-vezérlőépületet építeni. További el</w:t>
      </w:r>
      <w:r w:rsidRPr="00F64639">
        <w:t>ő</w:t>
      </w:r>
      <w:r w:rsidRPr="00F64639">
        <w:t>írások próbálták korlátozni a nagy szárító kapacitások létrehozását a nagygazdaságok közeli telephelyein.</w:t>
      </w:r>
    </w:p>
    <w:p w:rsidR="00CD5E38" w:rsidRPr="00F64639" w:rsidRDefault="00036150" w:rsidP="00CD5E38">
      <w:pPr>
        <w:jc w:val="both"/>
      </w:pPr>
      <w:r w:rsidRPr="00F64639">
        <w:t>A támogatás igénybevételére jogosult a termelői csoport, valamint azon mezőgazdasági termelő, amely m</w:t>
      </w:r>
      <w:r w:rsidRPr="00F64639">
        <w:t>e</w:t>
      </w:r>
      <w:r w:rsidRPr="00F64639">
        <w:t>zőgazdasági üzemének a mérete meghaladja a 4 európai méretegységet (EUME).</w:t>
      </w:r>
      <w:r w:rsidR="00E75745" w:rsidRPr="00F64639">
        <w:t xml:space="preserve"> </w:t>
      </w:r>
      <w:r w:rsidR="00CD5E38" w:rsidRPr="00F64639">
        <w:t>Ezt a kitételt induló válla</w:t>
      </w:r>
      <w:r w:rsidR="00CD5E38" w:rsidRPr="00F64639">
        <w:t>l</w:t>
      </w:r>
      <w:r w:rsidR="00CD5E38" w:rsidRPr="00F64639">
        <w:t xml:space="preserve">kozásoknak a beruházás befejezését követő első </w:t>
      </w:r>
      <w:r w:rsidR="00CD5E38">
        <w:t xml:space="preserve">teljes </w:t>
      </w:r>
      <w:r w:rsidR="00CD5E38" w:rsidRPr="00F64639">
        <w:t>naptári évben kellett teljesíteniük.</w:t>
      </w:r>
    </w:p>
    <w:p w:rsidR="00036150" w:rsidRPr="00F64639" w:rsidRDefault="00036150" w:rsidP="00036150">
      <w:pPr>
        <w:jc w:val="both"/>
      </w:pPr>
      <w:r w:rsidRPr="00F64639">
        <w:t>Ügyfelenként az igénybe vehető támogatás legfeljebb 735 000 eurónak megfelelő forintösszeg lehetett. A támogatás intenzitása 40%, amely +10%-kal növekedett,</w:t>
      </w:r>
      <w:r w:rsidR="00C20EB4" w:rsidRPr="00F64639">
        <w:t xml:space="preserve"> ha a beruházás KAT vagy NATURA</w:t>
      </w:r>
      <w:r w:rsidRPr="00F64639">
        <w:t xml:space="preserve"> 2000 területen valósul meg és +10%-kal magasabb lehetett az intenzitás akkor is, ha az ügyfél fiatal gazdálkodó.</w:t>
      </w:r>
    </w:p>
    <w:p w:rsidR="00C20EB4" w:rsidRPr="00F64639" w:rsidRDefault="00C20EB4" w:rsidP="00C20EB4">
      <w:pPr>
        <w:pStyle w:val="HUNNormal"/>
        <w:tabs>
          <w:tab w:val="left" w:pos="709"/>
        </w:tabs>
      </w:pPr>
      <w:r w:rsidRPr="00F64639">
        <w:t>A támogatás mértéke alapesetben az elszámolható kiadások 40%-</w:t>
      </w:r>
      <w:proofErr w:type="gramStart"/>
      <w:r w:rsidRPr="00F64639">
        <w:t>a</w:t>
      </w:r>
      <w:proofErr w:type="gramEnd"/>
      <w:r w:rsidRPr="00F64639">
        <w:t>, míg fiatal gazdák, vagy NATURA, KAT területen gazdálkodók esetében 50%, míg az utóbbi feltételek együttes teljesülése esetén 60%-os lehetett. A beérkezett támogatási kérelmeket megvizsgálva megállapítható, hogy összesen 169 db kérelmező (regisz</w:t>
      </w:r>
      <w:r w:rsidRPr="00F64639">
        <w:t>t</w:t>
      </w:r>
      <w:r w:rsidRPr="00F64639">
        <w:t xml:space="preserve">rációs szám alapján számolva) nem csak </w:t>
      </w:r>
      <w:proofErr w:type="gramStart"/>
      <w:r w:rsidRPr="00F64639">
        <w:t>ezen</w:t>
      </w:r>
      <w:proofErr w:type="gramEnd"/>
      <w:r w:rsidRPr="00F64639">
        <w:t xml:space="preserve"> jogcímre, hanem Fiatal gazda és/vagy KAT és/vagy NATURA 2000 jogcímre is nyújtott be támogatási kérelmet. 8 pályázó ezek közül Fiatal gazda jogcímre, 66 pályázó </w:t>
      </w:r>
      <w:proofErr w:type="spellStart"/>
      <w:r w:rsidRPr="00F64639">
        <w:t>KAT-ra</w:t>
      </w:r>
      <w:proofErr w:type="spellEnd"/>
      <w:r w:rsidRPr="00F64639">
        <w:t>, 95 pályázó NATURA 2000-re is nyújtott be kérelmet, míg 42 olyan pályázó volt, aki jelen jogcím me</w:t>
      </w:r>
      <w:r w:rsidRPr="00F64639">
        <w:t>l</w:t>
      </w:r>
      <w:r w:rsidRPr="00F64639">
        <w:t xml:space="preserve">lett KAT és NATURA 2000 támogatásra is nyújtott be kérelmet. </w:t>
      </w:r>
    </w:p>
    <w:p w:rsidR="00036150" w:rsidRPr="00F64639" w:rsidRDefault="00036150" w:rsidP="00036150">
      <w:pPr>
        <w:jc w:val="both"/>
      </w:pPr>
      <w:r w:rsidRPr="00F64639">
        <w:t>A művelet elszámolható kiadásai estén a Gépkatalógus, valamint az Építési Normagyűjteményben meghat</w:t>
      </w:r>
      <w:r w:rsidRPr="00F64639">
        <w:t>á</w:t>
      </w:r>
      <w:r w:rsidRPr="00F64639">
        <w:t xml:space="preserve">rozott referenciaárak kerültek alkalmazásra, továbbá a jogszabály számos esetben további korlátozásokat </w:t>
      </w:r>
      <w:r w:rsidRPr="00F64639">
        <w:lastRenderedPageBreak/>
        <w:t xml:space="preserve">tartalmaz (pl. telephelyenként csak egy hídmérleg támogatható, vezérlőépület felújítása esetén </w:t>
      </w:r>
      <w:proofErr w:type="spellStart"/>
      <w:r w:rsidRPr="00F64639">
        <w:t>max</w:t>
      </w:r>
      <w:proofErr w:type="spellEnd"/>
      <w:r w:rsidRPr="00F64639">
        <w:t>. 1 m Ft lehet az elszámolható kiadás stb.).</w:t>
      </w:r>
    </w:p>
    <w:p w:rsidR="004A0BC4" w:rsidRPr="00F64639" w:rsidRDefault="00C25BE9" w:rsidP="004A0BC4">
      <w:pPr>
        <w:pStyle w:val="HUNNormal"/>
        <w:tabs>
          <w:tab w:val="left" w:pos="709"/>
        </w:tabs>
      </w:pPr>
      <w:r w:rsidRPr="00F64639">
        <w:t>A támogatási kérelemhez az általános követelményeken túl részletes technológiai tervet is be kellett nyújt</w:t>
      </w:r>
      <w:r w:rsidRPr="00F64639">
        <w:t>a</w:t>
      </w:r>
      <w:r w:rsidRPr="00F64639">
        <w:t>ni.</w:t>
      </w:r>
    </w:p>
    <w:p w:rsidR="006042A6" w:rsidRPr="00F64639" w:rsidRDefault="006042A6" w:rsidP="006042A6">
      <w:pPr>
        <w:pStyle w:val="HUNNormal"/>
        <w:tabs>
          <w:tab w:val="left" w:pos="709"/>
        </w:tabs>
      </w:pPr>
      <w:r w:rsidRPr="00F64639">
        <w:t>A jóváhagyott támogatási kérelmek megyei bontását értékelve megállapítható, hogy a legtöbb kérelem S</w:t>
      </w:r>
      <w:r w:rsidRPr="00F64639">
        <w:t>o</w:t>
      </w:r>
      <w:r w:rsidRPr="00F64639">
        <w:t>mogy, Fejér és Baranya megyékből érkezett (rendre 7,24%, 7,24% és 7,09%). A legkevesebb kérelem Nó</w:t>
      </w:r>
      <w:r w:rsidRPr="00F64639">
        <w:t>g</w:t>
      </w:r>
      <w:r w:rsidRPr="00F64639">
        <w:t>rád, Veszprém megyéből és Budapestről érkezett (rendre 0,98%, 1,24% és 1,30%). A jóváhagyott kérelmek többsége hátrányos helyzetű, LHH vagy komplex LHH kistérségből származik (rendre 33,57%, 6,08% és 16,35%).</w:t>
      </w:r>
    </w:p>
    <w:p w:rsidR="006042A6" w:rsidRPr="00F64639" w:rsidRDefault="006042A6" w:rsidP="006042A6">
      <w:pPr>
        <w:pStyle w:val="HUNNormal"/>
        <w:tabs>
          <w:tab w:val="left" w:pos="709"/>
        </w:tabs>
      </w:pPr>
      <w:r w:rsidRPr="00F64639">
        <w:t xml:space="preserve">A jóváhagyott támogatási kérelmek döntő többsége </w:t>
      </w:r>
      <w:r w:rsidR="00C20EB4" w:rsidRPr="00F64639">
        <w:t xml:space="preserve">gazdálkodó </w:t>
      </w:r>
      <w:r w:rsidRPr="00F64639">
        <w:t>szervezetektől származik (75%). A szervez</w:t>
      </w:r>
      <w:r w:rsidRPr="00F64639">
        <w:t>e</w:t>
      </w:r>
      <w:r w:rsidRPr="00F64639">
        <w:t>tek közül a legtöbb jóváhagyott kérelem a középvállalatoktól érkezett be (</w:t>
      </w:r>
      <w:r w:rsidR="000A0D24" w:rsidRPr="00F64639">
        <w:t>30</w:t>
      </w:r>
      <w:r w:rsidRPr="00F64639">
        <w:t>%); a kisvállalatok és nagyváll</w:t>
      </w:r>
      <w:r w:rsidRPr="00F64639">
        <w:t>a</w:t>
      </w:r>
      <w:r w:rsidRPr="00F64639">
        <w:t xml:space="preserve">latok </w:t>
      </w:r>
      <w:r w:rsidR="000A0D24" w:rsidRPr="00F64639">
        <w:t>rendre 26</w:t>
      </w:r>
      <w:r w:rsidRPr="00F64639">
        <w:t xml:space="preserve">%-os </w:t>
      </w:r>
      <w:r w:rsidR="000A0D24" w:rsidRPr="00F64639">
        <w:t xml:space="preserve">és 18%-os </w:t>
      </w:r>
      <w:r w:rsidRPr="00F64639">
        <w:t xml:space="preserve">részesedéssel </w:t>
      </w:r>
      <w:proofErr w:type="gramStart"/>
      <w:r w:rsidRPr="00F64639">
        <w:t>bírnak</w:t>
      </w:r>
      <w:r w:rsidR="000A0D24" w:rsidRPr="00F64639">
        <w:rPr>
          <w:rStyle w:val="FootnoteReference"/>
        </w:rPr>
        <w:footnoteReference w:id="39"/>
      </w:r>
      <w:r w:rsidRPr="00F64639">
        <w:t>.</w:t>
      </w:r>
      <w:proofErr w:type="gramEnd"/>
      <w:r w:rsidR="000A0D24" w:rsidRPr="00F64639">
        <w:t xml:space="preserve"> Ami a megítélt támogatási összegek megoszlását illeti, a kép nagyon hasonló: a szervezetek 80%-os részarányt képviselnek, ezen belül 28% a középvállalatok, 24% a kisvállalatok, 23% a nagyvállalatok </w:t>
      </w:r>
      <w:r w:rsidR="00F03DC4" w:rsidRPr="00F64639">
        <w:t>aránya.</w:t>
      </w:r>
    </w:p>
    <w:p w:rsidR="00231100" w:rsidRPr="00F64639" w:rsidRDefault="00E33F0C" w:rsidP="006A14D3">
      <w:pPr>
        <w:pStyle w:val="HUNNormal"/>
        <w:tabs>
          <w:tab w:val="left" w:pos="709"/>
        </w:tabs>
      </w:pPr>
      <w:proofErr w:type="gramStart"/>
      <w:r w:rsidRPr="00F64639">
        <w:t xml:space="preserve">A megítélt támogatási összegeket vizsgálva megállapítható, hogy a támogatottak alsó </w:t>
      </w:r>
      <w:proofErr w:type="spellStart"/>
      <w:r w:rsidRPr="00F64639">
        <w:t>kvartilisébe</w:t>
      </w:r>
      <w:proofErr w:type="spellEnd"/>
      <w:r w:rsidRPr="00F64639">
        <w:t xml:space="preserve"> (a tám</w:t>
      </w:r>
      <w:r w:rsidRPr="00F64639">
        <w:t>o</w:t>
      </w:r>
      <w:r w:rsidRPr="00F64639">
        <w:t xml:space="preserve">gatottak 25%-a, akik a legkevesebb támogatást kapták) tartozó kedvezményezettek átlagosan 9 121 362 Ft-ot, a középső két </w:t>
      </w:r>
      <w:proofErr w:type="spellStart"/>
      <w:r w:rsidRPr="00F64639">
        <w:t>kvartilisbe</w:t>
      </w:r>
      <w:proofErr w:type="spellEnd"/>
      <w:r w:rsidRPr="00F64639">
        <w:t xml:space="preserve"> tartozók rendre átlagosan 29 249 017 Ft-ot és 50 504 448 Ft-ot, míg a le</w:t>
      </w:r>
      <w:r w:rsidRPr="00F64639">
        <w:t>g</w:t>
      </w:r>
      <w:r w:rsidRPr="00F64639">
        <w:t xml:space="preserve">felső </w:t>
      </w:r>
      <w:proofErr w:type="spellStart"/>
      <w:r w:rsidRPr="00F64639">
        <w:t>kvartilisbe</w:t>
      </w:r>
      <w:proofErr w:type="spellEnd"/>
      <w:r w:rsidRPr="00F64639">
        <w:t xml:space="preserve"> (a támogatottak 25%-a, akik a legtöbb támogatást kapták) tartozó kedvezményezettek átl</w:t>
      </w:r>
      <w:r w:rsidRPr="00F64639">
        <w:t>a</w:t>
      </w:r>
      <w:r w:rsidRPr="00F64639">
        <w:t>gosan 87 271 573 Ft-ot kaptak.</w:t>
      </w:r>
      <w:proofErr w:type="gramEnd"/>
      <w:r w:rsidR="00C63199" w:rsidRPr="00F64639">
        <w:t xml:space="preserve"> </w:t>
      </w:r>
    </w:p>
    <w:p w:rsidR="00231100" w:rsidRPr="00F64639" w:rsidRDefault="00231100" w:rsidP="006A14D3">
      <w:pPr>
        <w:pStyle w:val="HUNNormal"/>
        <w:tabs>
          <w:tab w:val="left" w:pos="709"/>
        </w:tabs>
      </w:pPr>
      <w:r w:rsidRPr="00F64639">
        <w:t>A támogatás a következő kategóriákban használták fel a támogatottak:</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377"/>
        <w:gridCol w:w="3543"/>
        <w:gridCol w:w="3459"/>
      </w:tblGrid>
      <w:tr w:rsidR="000E2F1A" w:rsidRPr="00F64639" w:rsidTr="002F783E">
        <w:trPr>
          <w:trHeight w:val="255"/>
          <w:tblHeader/>
          <w:jc w:val="center"/>
        </w:trPr>
        <w:tc>
          <w:tcPr>
            <w:tcW w:w="1267" w:type="pct"/>
            <w:tcBorders>
              <w:top w:val="single" w:sz="8" w:space="0" w:color="FFFFFF"/>
              <w:left w:val="single" w:sz="8" w:space="0" w:color="FFFFFF"/>
              <w:bottom w:val="single" w:sz="24" w:space="0" w:color="FFFFFF"/>
              <w:right w:val="single" w:sz="8" w:space="0" w:color="FFFFFF"/>
            </w:tcBorders>
            <w:shd w:val="clear" w:color="auto" w:fill="C0504D"/>
            <w:vAlign w:val="center"/>
            <w:hideMark/>
          </w:tcPr>
          <w:p w:rsidR="00231100" w:rsidRPr="00F64639" w:rsidRDefault="00231100" w:rsidP="002F783E">
            <w:pPr>
              <w:jc w:val="center"/>
              <w:rPr>
                <w:b/>
                <w:bCs/>
                <w:color w:val="FFFFFF"/>
                <w:sz w:val="18"/>
              </w:rPr>
            </w:pPr>
            <w:r w:rsidRPr="00F64639">
              <w:rPr>
                <w:b/>
                <w:bCs/>
                <w:color w:val="FFFFFF"/>
                <w:sz w:val="18"/>
              </w:rPr>
              <w:t>Kiadási tétel megnevezése</w:t>
            </w:r>
          </w:p>
        </w:tc>
        <w:tc>
          <w:tcPr>
            <w:tcW w:w="1889"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Megítélt támogatási összegek</w:t>
            </w:r>
          </w:p>
        </w:tc>
        <w:tc>
          <w:tcPr>
            <w:tcW w:w="1844"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Megítélt támogatási összeg a jogcímben megítélt összes támogatáshoz viszonyítva</w:t>
            </w:r>
          </w:p>
        </w:tc>
      </w:tr>
      <w:tr w:rsidR="000E2F1A" w:rsidRPr="00F64639" w:rsidTr="002F783E">
        <w:trPr>
          <w:trHeight w:val="255"/>
          <w:jc w:val="center"/>
        </w:trPr>
        <w:tc>
          <w:tcPr>
            <w:tcW w:w="1267" w:type="pct"/>
            <w:tcBorders>
              <w:top w:val="single" w:sz="8" w:space="0" w:color="FFFFFF"/>
              <w:left w:val="single" w:sz="8" w:space="0" w:color="FFFFFF"/>
              <w:bottom w:val="nil"/>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Terményszárító</w:t>
            </w:r>
          </w:p>
        </w:tc>
        <w:tc>
          <w:tcPr>
            <w:tcW w:w="1889"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13 875 616 285 Ft</w:t>
            </w:r>
          </w:p>
        </w:tc>
        <w:tc>
          <w:tcPr>
            <w:tcW w:w="18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45,89%</w:t>
            </w:r>
          </w:p>
        </w:tc>
      </w:tr>
      <w:tr w:rsidR="000E2F1A" w:rsidRPr="00F64639" w:rsidTr="002F783E">
        <w:trPr>
          <w:trHeight w:val="255"/>
          <w:jc w:val="center"/>
        </w:trPr>
        <w:tc>
          <w:tcPr>
            <w:tcW w:w="1267" w:type="pct"/>
            <w:tcBorders>
              <w:left w:val="single" w:sz="8" w:space="0" w:color="FFFFFF"/>
              <w:bottom w:val="nil"/>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Terménytisztító</w:t>
            </w:r>
          </w:p>
        </w:tc>
        <w:tc>
          <w:tcPr>
            <w:tcW w:w="1889" w:type="pct"/>
            <w:shd w:val="clear" w:color="auto" w:fill="EFD3D2"/>
            <w:noWrap/>
            <w:vAlign w:val="center"/>
            <w:hideMark/>
          </w:tcPr>
          <w:p w:rsidR="00231100" w:rsidRPr="00F64639" w:rsidRDefault="00231100" w:rsidP="002F783E">
            <w:pPr>
              <w:jc w:val="center"/>
              <w:rPr>
                <w:sz w:val="18"/>
              </w:rPr>
            </w:pPr>
            <w:r w:rsidRPr="00F64639">
              <w:rPr>
                <w:sz w:val="18"/>
              </w:rPr>
              <w:t>4 797 698 521 Ft</w:t>
            </w:r>
          </w:p>
        </w:tc>
        <w:tc>
          <w:tcPr>
            <w:tcW w:w="1844" w:type="pct"/>
            <w:shd w:val="clear" w:color="auto" w:fill="EFD3D2"/>
            <w:noWrap/>
            <w:vAlign w:val="center"/>
            <w:hideMark/>
          </w:tcPr>
          <w:p w:rsidR="00231100" w:rsidRPr="00F64639" w:rsidRDefault="00231100" w:rsidP="002F783E">
            <w:pPr>
              <w:jc w:val="center"/>
              <w:rPr>
                <w:sz w:val="18"/>
              </w:rPr>
            </w:pPr>
            <w:r w:rsidRPr="00F64639">
              <w:rPr>
                <w:sz w:val="18"/>
              </w:rPr>
              <w:t>15,87%</w:t>
            </w:r>
          </w:p>
        </w:tc>
      </w:tr>
      <w:tr w:rsidR="000E2F1A" w:rsidRPr="00F64639" w:rsidTr="002F783E">
        <w:trPr>
          <w:trHeight w:val="255"/>
          <w:jc w:val="center"/>
        </w:trPr>
        <w:tc>
          <w:tcPr>
            <w:tcW w:w="1267" w:type="pct"/>
            <w:tcBorders>
              <w:top w:val="single" w:sz="8" w:space="0" w:color="FFFFFF"/>
              <w:left w:val="single" w:sz="8" w:space="0" w:color="FFFFFF"/>
              <w:bottom w:val="nil"/>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Egyéb költség</w:t>
            </w:r>
          </w:p>
        </w:tc>
        <w:tc>
          <w:tcPr>
            <w:tcW w:w="1889"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1 657 171 247 Ft</w:t>
            </w:r>
          </w:p>
        </w:tc>
        <w:tc>
          <w:tcPr>
            <w:tcW w:w="18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5,48%</w:t>
            </w:r>
          </w:p>
        </w:tc>
      </w:tr>
      <w:tr w:rsidR="000E2F1A" w:rsidRPr="00F64639" w:rsidTr="002F783E">
        <w:trPr>
          <w:trHeight w:val="255"/>
          <w:jc w:val="center"/>
        </w:trPr>
        <w:tc>
          <w:tcPr>
            <w:tcW w:w="1267" w:type="pct"/>
            <w:tcBorders>
              <w:left w:val="single" w:sz="8" w:space="0" w:color="FFFFFF"/>
              <w:bottom w:val="nil"/>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Fogadógarat</w:t>
            </w:r>
          </w:p>
        </w:tc>
        <w:tc>
          <w:tcPr>
            <w:tcW w:w="1889" w:type="pct"/>
            <w:shd w:val="clear" w:color="auto" w:fill="EFD3D2"/>
            <w:noWrap/>
            <w:vAlign w:val="center"/>
            <w:hideMark/>
          </w:tcPr>
          <w:p w:rsidR="00231100" w:rsidRPr="00F64639" w:rsidRDefault="00231100" w:rsidP="002F783E">
            <w:pPr>
              <w:jc w:val="center"/>
              <w:rPr>
                <w:sz w:val="18"/>
              </w:rPr>
            </w:pPr>
            <w:r w:rsidRPr="00F64639">
              <w:rPr>
                <w:sz w:val="18"/>
              </w:rPr>
              <w:t>1 536 953 907 Ft</w:t>
            </w:r>
          </w:p>
        </w:tc>
        <w:tc>
          <w:tcPr>
            <w:tcW w:w="1844" w:type="pct"/>
            <w:shd w:val="clear" w:color="auto" w:fill="EFD3D2"/>
            <w:noWrap/>
            <w:vAlign w:val="center"/>
            <w:hideMark/>
          </w:tcPr>
          <w:p w:rsidR="00231100" w:rsidRPr="00F64639" w:rsidRDefault="00231100" w:rsidP="002F783E">
            <w:pPr>
              <w:jc w:val="center"/>
              <w:rPr>
                <w:sz w:val="18"/>
              </w:rPr>
            </w:pPr>
            <w:r w:rsidRPr="00F64639">
              <w:rPr>
                <w:sz w:val="18"/>
              </w:rPr>
              <w:t>5,08%</w:t>
            </w:r>
          </w:p>
        </w:tc>
      </w:tr>
      <w:tr w:rsidR="000E2F1A" w:rsidRPr="00F64639" w:rsidTr="002F783E">
        <w:trPr>
          <w:trHeight w:val="255"/>
          <w:jc w:val="center"/>
        </w:trPr>
        <w:tc>
          <w:tcPr>
            <w:tcW w:w="1267" w:type="pct"/>
            <w:tcBorders>
              <w:top w:val="single" w:sz="8" w:space="0" w:color="FFFFFF"/>
              <w:left w:val="single" w:sz="8" w:space="0" w:color="FFFFFF"/>
              <w:bottom w:val="nil"/>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Szárító</w:t>
            </w:r>
          </w:p>
        </w:tc>
        <w:tc>
          <w:tcPr>
            <w:tcW w:w="1889"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871 988 743 Ft</w:t>
            </w:r>
          </w:p>
        </w:tc>
        <w:tc>
          <w:tcPr>
            <w:tcW w:w="18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2,88%</w:t>
            </w:r>
          </w:p>
        </w:tc>
      </w:tr>
      <w:tr w:rsidR="000E2F1A" w:rsidRPr="00F64639" w:rsidTr="002F783E">
        <w:trPr>
          <w:trHeight w:val="255"/>
          <w:jc w:val="center"/>
        </w:trPr>
        <w:tc>
          <w:tcPr>
            <w:tcW w:w="1267" w:type="pct"/>
            <w:tcBorders>
              <w:left w:val="single" w:sz="8" w:space="0" w:color="FFFFFF"/>
              <w:bottom w:val="nil"/>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Hídmérleg</w:t>
            </w:r>
          </w:p>
        </w:tc>
        <w:tc>
          <w:tcPr>
            <w:tcW w:w="1889" w:type="pct"/>
            <w:shd w:val="clear" w:color="auto" w:fill="EFD3D2"/>
            <w:noWrap/>
            <w:vAlign w:val="center"/>
            <w:hideMark/>
          </w:tcPr>
          <w:p w:rsidR="00231100" w:rsidRPr="00F64639" w:rsidRDefault="00231100" w:rsidP="002F783E">
            <w:pPr>
              <w:jc w:val="center"/>
              <w:rPr>
                <w:sz w:val="18"/>
              </w:rPr>
            </w:pPr>
            <w:r w:rsidRPr="00F64639">
              <w:rPr>
                <w:sz w:val="18"/>
              </w:rPr>
              <w:t>808 111 767 Ft</w:t>
            </w:r>
          </w:p>
        </w:tc>
        <w:tc>
          <w:tcPr>
            <w:tcW w:w="1844" w:type="pct"/>
            <w:shd w:val="clear" w:color="auto" w:fill="EFD3D2"/>
            <w:noWrap/>
            <w:vAlign w:val="center"/>
            <w:hideMark/>
          </w:tcPr>
          <w:p w:rsidR="00231100" w:rsidRPr="00F64639" w:rsidRDefault="00231100" w:rsidP="002F783E">
            <w:pPr>
              <w:jc w:val="center"/>
              <w:rPr>
                <w:sz w:val="18"/>
              </w:rPr>
            </w:pPr>
            <w:r w:rsidRPr="00F64639">
              <w:rPr>
                <w:sz w:val="18"/>
              </w:rPr>
              <w:t>2,67%</w:t>
            </w:r>
          </w:p>
        </w:tc>
      </w:tr>
      <w:tr w:rsidR="000E2F1A" w:rsidRPr="00F64639" w:rsidTr="002F783E">
        <w:trPr>
          <w:trHeight w:val="255"/>
          <w:jc w:val="center"/>
        </w:trPr>
        <w:tc>
          <w:tcPr>
            <w:tcW w:w="1267" w:type="pct"/>
            <w:tcBorders>
              <w:top w:val="single" w:sz="8" w:space="0" w:color="FFFFFF"/>
              <w:left w:val="single" w:sz="8" w:space="0" w:color="FFFFFF"/>
              <w:bottom w:val="single" w:sz="8" w:space="0" w:color="FFFFFF"/>
              <w:right w:val="single" w:sz="24" w:space="0" w:color="FFFFFF"/>
            </w:tcBorders>
            <w:shd w:val="clear" w:color="auto" w:fill="C0504D"/>
            <w:noWrap/>
            <w:vAlign w:val="center"/>
            <w:hideMark/>
          </w:tcPr>
          <w:p w:rsidR="00231100" w:rsidRPr="00F64639" w:rsidRDefault="00231100" w:rsidP="002F783E">
            <w:pPr>
              <w:jc w:val="center"/>
              <w:rPr>
                <w:b/>
                <w:bCs/>
                <w:color w:val="FFFFFF"/>
                <w:sz w:val="18"/>
              </w:rPr>
            </w:pPr>
            <w:r w:rsidRPr="00F64639">
              <w:rPr>
                <w:b/>
                <w:bCs/>
                <w:color w:val="FFFFFF"/>
                <w:sz w:val="18"/>
              </w:rPr>
              <w:t>Tranzit-tároló</w:t>
            </w:r>
          </w:p>
        </w:tc>
        <w:tc>
          <w:tcPr>
            <w:tcW w:w="1889"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jc w:val="center"/>
              <w:rPr>
                <w:sz w:val="18"/>
              </w:rPr>
            </w:pPr>
            <w:r w:rsidRPr="00F64639">
              <w:rPr>
                <w:sz w:val="18"/>
              </w:rPr>
              <w:t>726 615 291 Ft</w:t>
            </w:r>
          </w:p>
        </w:tc>
        <w:tc>
          <w:tcPr>
            <w:tcW w:w="18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231100" w:rsidRPr="00F64639" w:rsidRDefault="00231100" w:rsidP="002F783E">
            <w:pPr>
              <w:keepNext/>
              <w:jc w:val="center"/>
              <w:rPr>
                <w:sz w:val="18"/>
              </w:rPr>
            </w:pPr>
            <w:r w:rsidRPr="00F64639">
              <w:rPr>
                <w:sz w:val="18"/>
              </w:rPr>
              <w:t>2,40%</w:t>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9</w:t>
      </w:r>
      <w:r w:rsidRPr="00F64639">
        <w:rPr>
          <w:color w:val="auto"/>
        </w:rPr>
        <w:fldChar w:fldCharType="end"/>
      </w:r>
      <w:r w:rsidR="00AB435B" w:rsidRPr="00F64639">
        <w:rPr>
          <w:color w:val="auto"/>
        </w:rPr>
        <w:t>. táblázat: Megítélt támogatási összegek megoszlása a kiadási tételek szerint</w:t>
      </w:r>
    </w:p>
    <w:p w:rsidR="00C20EB4" w:rsidRPr="00F64639" w:rsidRDefault="00C20EB4" w:rsidP="00C20EB4">
      <w:pPr>
        <w:pStyle w:val="HUNNormal"/>
        <w:tabs>
          <w:tab w:val="left" w:pos="709"/>
        </w:tabs>
      </w:pPr>
      <w:r w:rsidRPr="00F64639">
        <w:t>A jogcím végrehajtása viszonylag problémamentesen zajlott, a legtöbb gondot itt is a Mezőgazdasági Gépk</w:t>
      </w:r>
      <w:r w:rsidRPr="00F64639">
        <w:t>a</w:t>
      </w:r>
      <w:r w:rsidRPr="00F64639">
        <w:t>talógus és annak frissítése okozta, a meghirdetés és az elszámolás során is. A beruházások megvalósulását jelentősen hátráltatta a 2009-es gazdasági év, amely a gyenge hozamok mellett szokatlanul alacsony ért</w:t>
      </w:r>
      <w:r w:rsidRPr="00F64639">
        <w:t>é</w:t>
      </w:r>
      <w:r w:rsidRPr="00F64639">
        <w:t>kesítési árakat hozott, ezért a támogatási határozattal rendelkezők kivártak a megvalósítással.</w:t>
      </w:r>
    </w:p>
    <w:p w:rsidR="00C20EB4" w:rsidRPr="00F64639" w:rsidRDefault="00C20EB4" w:rsidP="00C20EB4">
      <w:pPr>
        <w:jc w:val="both"/>
      </w:pPr>
      <w:r w:rsidRPr="00F64639">
        <w:lastRenderedPageBreak/>
        <w:t xml:space="preserve">Az elutasítási okok széles skálán szóródtak, az egyik leggyakoribb ok az ingatlanok használatával (nem per- és igénymentes, illetve kizárólagos használata nem igazolt megfelelően), valamint a technológiai tervvel kapcsolatos (nem tartalmazott a műszaki leírás minden elemet). </w:t>
      </w:r>
    </w:p>
    <w:p w:rsidR="006042A6" w:rsidRPr="00F64639" w:rsidRDefault="006042A6" w:rsidP="006A14D3">
      <w:pPr>
        <w:pStyle w:val="HUNNormal"/>
        <w:tabs>
          <w:tab w:val="left" w:pos="709"/>
        </w:tabs>
      </w:pPr>
      <w:r w:rsidRPr="00F64639">
        <w:t>Ami az átfutási időket illet</w:t>
      </w:r>
      <w:r w:rsidR="00B511D3" w:rsidRPr="00F64639">
        <w:t>i</w:t>
      </w:r>
      <w:r w:rsidRPr="00F64639">
        <w:t>, megállapítható, hogy a támogatási kérelmek átlagos átfutási ideje 251 naptári nap (beérkezett kérelem: 822), a kifizetési kérelmeké pedig 103 naptári</w:t>
      </w:r>
      <w:r w:rsidR="00DA3280" w:rsidRPr="00F64639">
        <w:t xml:space="preserve"> nap (beérkezett kérelem: 426).</w:t>
      </w:r>
    </w:p>
    <w:p w:rsidR="00AC1FD2" w:rsidRPr="00F64639" w:rsidRDefault="00AC1FD2" w:rsidP="00E60698">
      <w:pPr>
        <w:pStyle w:val="HUNHeading4"/>
        <w:ind w:hanging="1728"/>
      </w:pPr>
      <w:r w:rsidRPr="00F64639">
        <w:t>Mezőgazdasági energiafelhasználás</w:t>
      </w:r>
    </w:p>
    <w:p w:rsidR="00FD1616" w:rsidRPr="00F64639" w:rsidRDefault="00FD1616" w:rsidP="006A14D3">
      <w:pPr>
        <w:pStyle w:val="HUNNormal"/>
        <w:tabs>
          <w:tab w:val="left" w:pos="709"/>
        </w:tabs>
      </w:pPr>
      <w:r w:rsidRPr="00F64639">
        <w:t xml:space="preserve">A </w:t>
      </w:r>
      <w:r w:rsidR="00CD5E38">
        <w:t>m</w:t>
      </w:r>
      <w:r w:rsidRPr="00F64639">
        <w:t>ezőgazdasági energiafelhasználás megújuló energiaforrásokból történő előállításához nyújtandó tám</w:t>
      </w:r>
      <w:r w:rsidRPr="00F64639">
        <w:t>o</w:t>
      </w:r>
      <w:r w:rsidRPr="00F64639">
        <w:t xml:space="preserve">gatás jogcím célja </w:t>
      </w:r>
      <w:r w:rsidRPr="00F64639">
        <w:rPr>
          <w:b/>
        </w:rPr>
        <w:t>a mezőgazdaságban a megújuló energiaforrások kiterjedt használatának elősegítése, valamint a termelők fosszilis energiafüggőségének mérséklése</w:t>
      </w:r>
      <w:r w:rsidRPr="00F64639">
        <w:t>.</w:t>
      </w:r>
      <w:r w:rsidR="00F76138" w:rsidRPr="00F64639">
        <w:t xml:space="preserve"> </w:t>
      </w:r>
    </w:p>
    <w:p w:rsidR="00FD1616" w:rsidRPr="00F64639" w:rsidRDefault="00FD1616" w:rsidP="00FD1616">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40"/>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827DE3"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827DE3" w:rsidRPr="00F64639" w:rsidRDefault="00AE6228" w:rsidP="000B0E4C">
            <w:pPr>
              <w:jc w:val="center"/>
              <w:rPr>
                <w:b/>
                <w:bCs/>
                <w:iCs/>
                <w:color w:val="FFFFFF"/>
                <w:szCs w:val="22"/>
              </w:rPr>
            </w:pPr>
            <w:r w:rsidRPr="00F64639">
              <w:rPr>
                <w:b/>
                <w:bCs/>
                <w:iCs/>
                <w:color w:val="FFFFFF"/>
                <w:szCs w:val="22"/>
              </w:rPr>
              <w:t>Mezőgazdasági energiafelhasználás</w:t>
            </w:r>
          </w:p>
        </w:tc>
      </w:tr>
      <w:tr w:rsidR="00827DE3"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827DE3" w:rsidRPr="00F64639" w:rsidRDefault="00F76138" w:rsidP="000B0E4C">
            <w:pPr>
              <w:jc w:val="center"/>
              <w:rPr>
                <w:rFonts w:cs="Arial"/>
                <w:sz w:val="18"/>
                <w:szCs w:val="18"/>
              </w:rPr>
            </w:pPr>
            <w:r w:rsidRPr="00F64639">
              <w:rPr>
                <w:iCs/>
                <w:szCs w:val="22"/>
              </w:rPr>
              <w:t>intézkedés szinten került meghatározásra</w:t>
            </w:r>
          </w:p>
        </w:tc>
      </w:tr>
      <w:tr w:rsidR="00827DE3" w:rsidRPr="00F64639" w:rsidTr="000B0E4C">
        <w:tc>
          <w:tcPr>
            <w:tcW w:w="2778" w:type="pct"/>
            <w:tcBorders>
              <w:left w:val="single" w:sz="8" w:space="0" w:color="FFFFFF"/>
              <w:bottom w:val="nil"/>
              <w:right w:val="single" w:sz="24"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827DE3" w:rsidRPr="00F64639" w:rsidRDefault="00827DE3" w:rsidP="000B0E4C">
            <w:pPr>
              <w:jc w:val="center"/>
              <w:rPr>
                <w:iCs/>
                <w:szCs w:val="22"/>
              </w:rPr>
            </w:pPr>
            <w:r w:rsidRPr="00F64639">
              <w:rPr>
                <w:iCs/>
                <w:szCs w:val="22"/>
              </w:rPr>
              <w:t>5 db</w:t>
            </w:r>
          </w:p>
        </w:tc>
      </w:tr>
      <w:tr w:rsidR="00827DE3"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827DE3" w:rsidRPr="00F64639" w:rsidRDefault="00827DE3" w:rsidP="000B0E4C">
            <w:pPr>
              <w:jc w:val="center"/>
              <w:rPr>
                <w:iCs/>
                <w:szCs w:val="22"/>
              </w:rPr>
            </w:pPr>
            <w:r w:rsidRPr="00F64639">
              <w:rPr>
                <w:iCs/>
                <w:szCs w:val="22"/>
              </w:rPr>
              <w:t>5 db</w:t>
            </w:r>
          </w:p>
        </w:tc>
      </w:tr>
      <w:tr w:rsidR="00827DE3" w:rsidRPr="00F64639" w:rsidTr="000B0E4C">
        <w:tc>
          <w:tcPr>
            <w:tcW w:w="2778" w:type="pct"/>
            <w:tcBorders>
              <w:left w:val="single" w:sz="8" w:space="0" w:color="FFFFFF"/>
              <w:bottom w:val="nil"/>
              <w:right w:val="single" w:sz="24"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827DE3" w:rsidRPr="00F64639" w:rsidRDefault="00827DE3" w:rsidP="000B0E4C">
            <w:pPr>
              <w:jc w:val="center"/>
              <w:rPr>
                <w:iCs/>
                <w:szCs w:val="22"/>
              </w:rPr>
            </w:pPr>
            <w:r w:rsidRPr="00F64639">
              <w:rPr>
                <w:iCs/>
                <w:szCs w:val="22"/>
              </w:rPr>
              <w:t>5 db</w:t>
            </w:r>
          </w:p>
        </w:tc>
      </w:tr>
      <w:tr w:rsidR="00827DE3"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827DE3" w:rsidRPr="00F64639" w:rsidRDefault="00827DE3" w:rsidP="000B0E4C">
            <w:pPr>
              <w:jc w:val="center"/>
              <w:rPr>
                <w:color w:val="000000"/>
              </w:rPr>
            </w:pPr>
            <w:r w:rsidRPr="00F64639">
              <w:rPr>
                <w:color w:val="000000"/>
              </w:rPr>
              <w:t xml:space="preserve">151 370 663 </w:t>
            </w:r>
            <w:r w:rsidRPr="00F64639">
              <w:rPr>
                <w:iCs/>
                <w:szCs w:val="22"/>
              </w:rPr>
              <w:t>Ft</w:t>
            </w:r>
            <w:r w:rsidRPr="00F64639">
              <w:rPr>
                <w:rStyle w:val="FootnoteReference"/>
                <w:iCs/>
                <w:szCs w:val="22"/>
              </w:rPr>
              <w:footnoteReference w:id="41"/>
            </w:r>
          </w:p>
        </w:tc>
      </w:tr>
      <w:tr w:rsidR="00827DE3" w:rsidRPr="00F64639" w:rsidTr="000B0E4C">
        <w:tc>
          <w:tcPr>
            <w:tcW w:w="2778" w:type="pct"/>
            <w:tcBorders>
              <w:left w:val="single" w:sz="8" w:space="0" w:color="FFFFFF"/>
              <w:right w:val="single" w:sz="24" w:space="0" w:color="FFFFFF"/>
            </w:tcBorders>
            <w:shd w:val="clear" w:color="auto" w:fill="C0504D"/>
          </w:tcPr>
          <w:p w:rsidR="00827DE3" w:rsidRPr="00F64639" w:rsidRDefault="00827DE3"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827DE3" w:rsidRPr="00F64639" w:rsidRDefault="00827DE3" w:rsidP="000B0E4C">
            <w:pPr>
              <w:jc w:val="center"/>
              <w:rPr>
                <w:color w:val="000000"/>
              </w:rPr>
            </w:pPr>
            <w:r w:rsidRPr="00F64639">
              <w:rPr>
                <w:color w:val="000000"/>
              </w:rPr>
              <w:t xml:space="preserve">43 796 792 </w:t>
            </w:r>
            <w:r w:rsidRPr="00F64639">
              <w:rPr>
                <w:bCs/>
                <w:color w:val="000000"/>
              </w:rPr>
              <w:t>Ft</w:t>
            </w:r>
            <w:r w:rsidRPr="00F64639">
              <w:rPr>
                <w:rStyle w:val="FootnoteReference"/>
                <w:iCs/>
                <w:szCs w:val="22"/>
              </w:rPr>
              <w:footnoteReference w:id="42"/>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10</w:t>
      </w:r>
      <w:r w:rsidRPr="00F64639">
        <w:rPr>
          <w:color w:val="auto"/>
        </w:rPr>
        <w:fldChar w:fldCharType="end"/>
      </w:r>
      <w:r w:rsidR="00AB435B" w:rsidRPr="00F64639">
        <w:rPr>
          <w:color w:val="auto"/>
        </w:rPr>
        <w:t>. táblázat: A jogcím általános jellemzői</w:t>
      </w:r>
    </w:p>
    <w:p w:rsidR="002F7BCD" w:rsidRPr="00F64639" w:rsidRDefault="002F7BCD" w:rsidP="006A14D3">
      <w:pPr>
        <w:pStyle w:val="HUNNormal"/>
        <w:tabs>
          <w:tab w:val="left" w:pos="709"/>
        </w:tabs>
      </w:pPr>
      <w:r w:rsidRPr="00F64639">
        <w:t>A jogcím keretében biomassza hasznosítására is alkalmas kazánok, valamint az előállított energia szétos</w:t>
      </w:r>
      <w:r w:rsidRPr="00F64639">
        <w:t>z</w:t>
      </w:r>
      <w:r w:rsidRPr="00F64639">
        <w:t>tását, tárolását szolgáló eszközök beszerzésére volt lehetőség, legfeljebb 30 m</w:t>
      </w:r>
      <w:r w:rsidR="00B031E3" w:rsidRPr="00F64639">
        <w:t>illió</w:t>
      </w:r>
      <w:r w:rsidRPr="00F64639">
        <w:t xml:space="preserve"> Ft támogatási értékig.</w:t>
      </w:r>
    </w:p>
    <w:p w:rsidR="002F7BCD" w:rsidRPr="00F64639" w:rsidRDefault="002F7BCD" w:rsidP="006A14D3">
      <w:pPr>
        <w:pStyle w:val="HUNNormal"/>
        <w:tabs>
          <w:tab w:val="left" w:pos="709"/>
        </w:tabs>
      </w:pPr>
      <w:r w:rsidRPr="00F64639">
        <w:t>A támogatás igénybevételére minden termelői csoport, illetve mezőgazdasági termelő jogosult volt (utóbbi 4 EUME felett, amelyet induló vállalkozás egy éven belül teljesíthetett).</w:t>
      </w:r>
    </w:p>
    <w:p w:rsidR="002F7BCD" w:rsidRPr="00F64639" w:rsidRDefault="002F7BCD" w:rsidP="006A14D3">
      <w:pPr>
        <w:pStyle w:val="HUNNormal"/>
        <w:tabs>
          <w:tab w:val="left" w:pos="709"/>
        </w:tabs>
      </w:pPr>
      <w:r w:rsidRPr="00F64639">
        <w:t>A kérelemhez részletes technológiai tervet kellett benyújtani.</w:t>
      </w:r>
    </w:p>
    <w:p w:rsidR="002A19BB" w:rsidRPr="00F64639" w:rsidRDefault="0027268A" w:rsidP="006A14D3">
      <w:pPr>
        <w:pStyle w:val="HUNNormal"/>
        <w:tabs>
          <w:tab w:val="left" w:pos="709"/>
        </w:tabs>
      </w:pPr>
      <w:r w:rsidRPr="00F64639">
        <w:t>A 78/2007.(VII.30.) számú FVM rendelet a támogatási összeg felső határát 200 millió forintban, a támog</w:t>
      </w:r>
      <w:r w:rsidRPr="00F64639">
        <w:t>a</w:t>
      </w:r>
      <w:r w:rsidRPr="00F64639">
        <w:t>tás intenzitását pedig 50 %-ban állapította meg. A rendelet szerint a támogatási kérelmet először 2007. szeptember 17-től 2010. október 17-ig lehet benyújtani. A rendeletet módosító 101/2007.(IX.21.) számú FVM rendelet, mely az eredetileg megállapított benyújtási időszak 5. napjától volt hatályos, a Támogatási összeg felső határát 200 millió forintról 30 millió forintra, a támogatás intenzitását pedig 50 %-ról 35 %-ra csökkentette, egyidejűleg benyújtási időszakot 2010. november 5-ig meghosszabbította. Alsó korlát a tám</w:t>
      </w:r>
      <w:r w:rsidRPr="00F64639">
        <w:t>o</w:t>
      </w:r>
      <w:r w:rsidRPr="00F64639">
        <w:t>gatás igénybevételére nem volt.</w:t>
      </w:r>
    </w:p>
    <w:p w:rsidR="0018543C" w:rsidRPr="00F64639" w:rsidRDefault="0018543C" w:rsidP="006A14D3">
      <w:pPr>
        <w:pStyle w:val="HUNNormal"/>
        <w:tabs>
          <w:tab w:val="left" w:pos="709"/>
        </w:tabs>
      </w:pPr>
      <w:r w:rsidRPr="00F64639">
        <w:lastRenderedPageBreak/>
        <w:t>A művelet elszámolható kiadásai estén a Mezőgazdasági Gépkatalógusban meghatározott referenciaárak kerültek alkalmazásra, továbbá a szerelvények és a szerelés elszámolható kiadásai nem haladhatják meg az elszámolható kiadások 35%-át.</w:t>
      </w:r>
    </w:p>
    <w:p w:rsidR="002F7BCD" w:rsidRPr="00F64639" w:rsidRDefault="002F7BCD" w:rsidP="002F7BCD">
      <w:pPr>
        <w:pStyle w:val="HUNNormal"/>
        <w:tabs>
          <w:tab w:val="left" w:pos="709"/>
        </w:tabs>
      </w:pPr>
      <w:r w:rsidRPr="00F64639">
        <w:t>A kérelmező köteles volt vállalni, hogy a beruházással előállított energiát mezőgazdasági tevékenység ker</w:t>
      </w:r>
      <w:r w:rsidRPr="00F64639">
        <w:t>e</w:t>
      </w:r>
      <w:r w:rsidRPr="00F64639">
        <w:t>tében, illetve a mezőgazdasági üzemen (telephelyen) belül elhelyezkedő, a mezőgazdasági tevékenység fol</w:t>
      </w:r>
      <w:r w:rsidRPr="00F64639">
        <w:t>y</w:t>
      </w:r>
      <w:r w:rsidRPr="00F64639">
        <w:t xml:space="preserve">tatásához kapcsolódó infrastrukturális létesítményekben hasznosítani (karbantartó </w:t>
      </w:r>
      <w:r w:rsidR="007C5630" w:rsidRPr="00F64639">
        <w:t>műhely, szociális helység stb.).</w:t>
      </w:r>
    </w:p>
    <w:p w:rsidR="0027268A" w:rsidRPr="00F64639" w:rsidRDefault="00F83EDE" w:rsidP="006A14D3">
      <w:pPr>
        <w:pStyle w:val="HUNNormal"/>
        <w:tabs>
          <w:tab w:val="left" w:pos="709"/>
        </w:tabs>
      </w:pPr>
      <w:r w:rsidRPr="00F64639">
        <w:t xml:space="preserve">A jogcím keretein belül a </w:t>
      </w:r>
      <w:proofErr w:type="spellStart"/>
      <w:r w:rsidRPr="00F64639">
        <w:t>mid-term</w:t>
      </w:r>
      <w:proofErr w:type="spellEnd"/>
      <w:r w:rsidRPr="00F64639">
        <w:t xml:space="preserve"> értékelés összeállításáig összesen 5 db támogatási kérelem jóváhagyása történt meg: Bicske</w:t>
      </w:r>
      <w:r w:rsidR="00F76138" w:rsidRPr="00F64639">
        <w:t xml:space="preserve"> </w:t>
      </w:r>
      <w:r w:rsidR="002A7E6C" w:rsidRPr="00F64639">
        <w:t>(13 027 000</w:t>
      </w:r>
      <w:r w:rsidR="0022006B" w:rsidRPr="00F64639">
        <w:t xml:space="preserve"> Ft</w:t>
      </w:r>
      <w:r w:rsidR="00F76138" w:rsidRPr="00F64639">
        <w:t>)</w:t>
      </w:r>
      <w:r w:rsidRPr="00F64639">
        <w:t>, Szombathely</w:t>
      </w:r>
      <w:r w:rsidR="00F76138" w:rsidRPr="00F64639">
        <w:t xml:space="preserve"> </w:t>
      </w:r>
      <w:r w:rsidR="002A7E6C" w:rsidRPr="00F64639">
        <w:t>(9 065 000</w:t>
      </w:r>
      <w:r w:rsidR="0022006B" w:rsidRPr="00F64639">
        <w:t xml:space="preserve"> Ft</w:t>
      </w:r>
      <w:r w:rsidR="00F76138" w:rsidRPr="00F64639">
        <w:t>)</w:t>
      </w:r>
      <w:r w:rsidRPr="00F64639">
        <w:t>, Kiskunfélegyháza</w:t>
      </w:r>
      <w:r w:rsidR="00F76138" w:rsidRPr="00F64639">
        <w:t xml:space="preserve"> </w:t>
      </w:r>
      <w:r w:rsidR="002A7E6C" w:rsidRPr="00F64639">
        <w:t>(25 888 655</w:t>
      </w:r>
      <w:r w:rsidR="0022006B" w:rsidRPr="00F64639">
        <w:t xml:space="preserve"> Ft</w:t>
      </w:r>
      <w:r w:rsidR="00F76138" w:rsidRPr="00F64639">
        <w:t>)</w:t>
      </w:r>
      <w:r w:rsidRPr="00F64639">
        <w:t>, M</w:t>
      </w:r>
      <w:r w:rsidRPr="00F64639">
        <w:t>ó</w:t>
      </w:r>
      <w:r w:rsidRPr="00F64639">
        <w:t xml:space="preserve">rahalom </w:t>
      </w:r>
      <w:r w:rsidR="002A7E6C" w:rsidRPr="00F64639">
        <w:t>(2 392 923</w:t>
      </w:r>
      <w:r w:rsidR="0022006B" w:rsidRPr="00F64639">
        <w:t xml:space="preserve"> Ft</w:t>
      </w:r>
      <w:r w:rsidR="00F76138" w:rsidRPr="00F64639">
        <w:t xml:space="preserve">) </w:t>
      </w:r>
      <w:r w:rsidRPr="00F64639">
        <w:t xml:space="preserve">és Nagyszentjános </w:t>
      </w:r>
      <w:r w:rsidR="002A7E6C" w:rsidRPr="00F64639">
        <w:t>(2 606 154</w:t>
      </w:r>
      <w:r w:rsidR="0022006B" w:rsidRPr="00F64639">
        <w:t xml:space="preserve"> Ft</w:t>
      </w:r>
      <w:r w:rsidR="00F76138" w:rsidRPr="00F64639">
        <w:t xml:space="preserve">) </w:t>
      </w:r>
      <w:r w:rsidRPr="00F64639">
        <w:t>települések</w:t>
      </w:r>
      <w:r w:rsidR="00F76138" w:rsidRPr="00F64639">
        <w:t>en</w:t>
      </w:r>
      <w:r w:rsidRPr="00F64639">
        <w:t>.</w:t>
      </w:r>
      <w:r w:rsidR="00354441" w:rsidRPr="00F64639">
        <w:t xml:space="preserve"> </w:t>
      </w:r>
      <w:r w:rsidR="0027268A" w:rsidRPr="00F64639">
        <w:t xml:space="preserve">A jogcím </w:t>
      </w:r>
      <w:r w:rsidR="00CD5E38">
        <w:t xml:space="preserve">fontossága kétségtelen, hiszen </w:t>
      </w:r>
      <w:r w:rsidR="0027268A" w:rsidRPr="00F64639">
        <w:t xml:space="preserve">energetikai célra megfelelő körülmények között 6-8 millió tonna szerves anyagot lehetne hasznosítani szakértői vélemények szerint, ezzel szemben a keletkező mennyiség 10%-át sem használják fel tüzelési, energiatermelési célra. </w:t>
      </w:r>
    </w:p>
    <w:p w:rsidR="00FE096E" w:rsidRPr="00F64639" w:rsidRDefault="0027268A" w:rsidP="006A14D3">
      <w:pPr>
        <w:pStyle w:val="HUNNormal"/>
        <w:tabs>
          <w:tab w:val="left" w:pos="709"/>
        </w:tabs>
      </w:pPr>
      <w:r w:rsidRPr="00F64639">
        <w:t xml:space="preserve">A jogcím nem érte el célját az alacsony kérelemszám miatt. </w:t>
      </w:r>
      <w:r w:rsidR="00FE096E" w:rsidRPr="00F64639">
        <w:t>A csekély érdeklődés okai a szakértők szerint a figyelemfelhívás elégtelensége és a KEOP</w:t>
      </w:r>
      <w:r w:rsidR="00FE096E" w:rsidRPr="00F64639">
        <w:rPr>
          <w:rStyle w:val="FootnoteReference"/>
        </w:rPr>
        <w:footnoteReference w:id="43"/>
      </w:r>
      <w:r w:rsidR="00FE096E" w:rsidRPr="00F64639">
        <w:t xml:space="preserve"> támogatások kedvezőbb feltételei voltak. Meg kell jegyezni ugyanakkor, hogy a mezőgazdasági hulladékok energetikai hasznosításának gazdaságossága, energiamé</w:t>
      </w:r>
      <w:r w:rsidR="00FE096E" w:rsidRPr="00F64639">
        <w:t>r</w:t>
      </w:r>
      <w:r w:rsidR="00FE096E" w:rsidRPr="00F64639">
        <w:t xml:space="preserve">lege és megfelelő technológiai megoldásai szakmai vita tárgyát képezik. </w:t>
      </w:r>
    </w:p>
    <w:p w:rsidR="0027268A" w:rsidRPr="00F64639" w:rsidRDefault="00FE096E" w:rsidP="006A14D3">
      <w:pPr>
        <w:pStyle w:val="HUNNormal"/>
        <w:tabs>
          <w:tab w:val="left" w:pos="709"/>
        </w:tabs>
      </w:pPr>
      <w:r w:rsidRPr="00F64639">
        <w:t>A</w:t>
      </w:r>
      <w:r w:rsidR="0027268A" w:rsidRPr="00F64639">
        <w:t xml:space="preserve"> kis </w:t>
      </w:r>
      <w:r w:rsidR="00354441" w:rsidRPr="00F64639">
        <w:t xml:space="preserve">projektszámra tekintettel </w:t>
      </w:r>
      <w:r w:rsidR="0027268A" w:rsidRPr="00F64639">
        <w:t xml:space="preserve">hatásvizsgálatot </w:t>
      </w:r>
      <w:r w:rsidRPr="00F64639">
        <w:t>nem végeztünk.</w:t>
      </w:r>
      <w:r w:rsidR="0027268A" w:rsidRPr="00F64639">
        <w:t xml:space="preserve"> </w:t>
      </w:r>
    </w:p>
    <w:p w:rsidR="00FE096E" w:rsidRPr="00F64639" w:rsidRDefault="00FE096E" w:rsidP="006A14D3">
      <w:pPr>
        <w:pStyle w:val="HUNNormal"/>
        <w:tabs>
          <w:tab w:val="left" w:pos="709"/>
        </w:tabs>
      </w:pPr>
      <w:r w:rsidRPr="00F64639">
        <w:t>Mivel az energiafüggőség csökkentése és az üvegházhatású gázok csökkentése fontos nemzeti és európai célok, ezért részletes értékelés elvégzését javasoljuk a sikertelenség okainak felderítéséhez és a megfelelő támogatási feltételek megalapozásához. A félidei értékelés átfogó jellege miatt ilyen értékelésre nem volt lehetőségünk.</w:t>
      </w:r>
    </w:p>
    <w:p w:rsidR="00AC1FD2" w:rsidRPr="00F64639" w:rsidRDefault="00AC1FD2" w:rsidP="00E60698">
      <w:pPr>
        <w:pStyle w:val="HUNHeading4"/>
        <w:ind w:hanging="1728"/>
      </w:pPr>
      <w:r w:rsidRPr="00F64639">
        <w:t>Kertészet korszerűsítése</w:t>
      </w:r>
    </w:p>
    <w:p w:rsidR="00197460" w:rsidRPr="00F64639" w:rsidRDefault="00197460" w:rsidP="00197460">
      <w:pPr>
        <w:pStyle w:val="HUNNormal"/>
        <w:tabs>
          <w:tab w:val="left" w:pos="709"/>
        </w:tabs>
      </w:pPr>
      <w:r w:rsidRPr="00F64639">
        <w:t>A Kertészet</w:t>
      </w:r>
      <w:r w:rsidR="00184CDA" w:rsidRPr="00F64639">
        <w:t xml:space="preserve"> korszerűsítése</w:t>
      </w:r>
      <w:r w:rsidRPr="00F64639">
        <w:t xml:space="preserve"> jogcím célja </w:t>
      </w:r>
      <w:r w:rsidR="00CD5E38" w:rsidRPr="00B40AE6">
        <w:t>a kert</w:t>
      </w:r>
      <w:r w:rsidR="00CD5E38" w:rsidRPr="00B40AE6">
        <w:rPr>
          <w:rFonts w:hint="eastAsia"/>
        </w:rPr>
        <w:t>é</w:t>
      </w:r>
      <w:r w:rsidR="00CD5E38" w:rsidRPr="00B40AE6">
        <w:t>szetben a termel</w:t>
      </w:r>
      <w:r w:rsidR="00CD5E38" w:rsidRPr="00B40AE6">
        <w:rPr>
          <w:rFonts w:hint="eastAsia"/>
        </w:rPr>
        <w:t>ő</w:t>
      </w:r>
      <w:r w:rsidR="00CD5E38" w:rsidRPr="00B40AE6">
        <w:t>tev</w:t>
      </w:r>
      <w:r w:rsidR="00CD5E38" w:rsidRPr="00B40AE6">
        <w:rPr>
          <w:rFonts w:hint="eastAsia"/>
        </w:rPr>
        <w:t>é</w:t>
      </w:r>
      <w:r w:rsidR="00CD5E38" w:rsidRPr="00B40AE6">
        <w:t>kenys</w:t>
      </w:r>
      <w:r w:rsidR="00CD5E38" w:rsidRPr="00B40AE6">
        <w:rPr>
          <w:rFonts w:hint="eastAsia"/>
        </w:rPr>
        <w:t>é</w:t>
      </w:r>
      <w:r w:rsidR="00CD5E38" w:rsidRPr="00B40AE6">
        <w:t>g folytat</w:t>
      </w:r>
      <w:r w:rsidR="00CD5E38" w:rsidRPr="00B40AE6">
        <w:rPr>
          <w:rFonts w:hint="eastAsia"/>
        </w:rPr>
        <w:t>á</w:t>
      </w:r>
      <w:r w:rsidR="00CD5E38" w:rsidRPr="00B40AE6">
        <w:t>s</w:t>
      </w:r>
      <w:r w:rsidR="00CD5E38" w:rsidRPr="00B40AE6">
        <w:rPr>
          <w:rFonts w:hint="eastAsia"/>
        </w:rPr>
        <w:t>á</w:t>
      </w:r>
      <w:r w:rsidR="00CD5E38" w:rsidRPr="00B40AE6">
        <w:t xml:space="preserve">hoz </w:t>
      </w:r>
      <w:r w:rsidR="00CD5E38" w:rsidRPr="00B40AE6">
        <w:rPr>
          <w:rFonts w:hint="eastAsia"/>
        </w:rPr>
        <w:t>é</w:t>
      </w:r>
      <w:r w:rsidR="00CD5E38" w:rsidRPr="00B40AE6">
        <w:t xml:space="preserve">s a megtermelt </w:t>
      </w:r>
      <w:r w:rsidR="00CD5E38" w:rsidRPr="00B40AE6">
        <w:rPr>
          <w:rFonts w:hint="eastAsia"/>
        </w:rPr>
        <w:t>á</w:t>
      </w:r>
      <w:r w:rsidR="00CD5E38" w:rsidRPr="00B40AE6">
        <w:t>ru t</w:t>
      </w:r>
      <w:r w:rsidR="00CD5E38" w:rsidRPr="00B40AE6">
        <w:rPr>
          <w:rFonts w:hint="eastAsia"/>
        </w:rPr>
        <w:t>á</w:t>
      </w:r>
      <w:r w:rsidR="00CD5E38" w:rsidRPr="00B40AE6">
        <w:t>rol</w:t>
      </w:r>
      <w:r w:rsidR="00CD5E38" w:rsidRPr="00B40AE6">
        <w:rPr>
          <w:rFonts w:hint="eastAsia"/>
        </w:rPr>
        <w:t>á</w:t>
      </w:r>
      <w:r w:rsidR="00CD5E38" w:rsidRPr="00B40AE6">
        <w:t>s</w:t>
      </w:r>
      <w:r w:rsidR="00CD5E38" w:rsidRPr="00B40AE6">
        <w:rPr>
          <w:rFonts w:hint="eastAsia"/>
        </w:rPr>
        <w:t>á</w:t>
      </w:r>
      <w:r w:rsidR="00CD5E38" w:rsidRPr="00B40AE6">
        <w:t>hoz sz</w:t>
      </w:r>
      <w:r w:rsidR="00CD5E38" w:rsidRPr="00B40AE6">
        <w:rPr>
          <w:rFonts w:hint="eastAsia"/>
        </w:rPr>
        <w:t>ü</w:t>
      </w:r>
      <w:r w:rsidR="00CD5E38" w:rsidRPr="00B40AE6">
        <w:t>ks</w:t>
      </w:r>
      <w:r w:rsidR="00CD5E38" w:rsidRPr="00B40AE6">
        <w:rPr>
          <w:rFonts w:hint="eastAsia"/>
        </w:rPr>
        <w:t>é</w:t>
      </w:r>
      <w:r w:rsidR="00CD5E38" w:rsidRPr="00B40AE6">
        <w:t>ges</w:t>
      </w:r>
      <w:r w:rsidR="00CD5E38">
        <w:t xml:space="preserve"> </w:t>
      </w:r>
      <w:r w:rsidR="00CD5E38" w:rsidRPr="00B40AE6">
        <w:rPr>
          <w:rFonts w:hint="eastAsia"/>
        </w:rPr>
        <w:t>é</w:t>
      </w:r>
      <w:r w:rsidR="00CD5E38" w:rsidRPr="00B40AE6">
        <w:t>p</w:t>
      </w:r>
      <w:r w:rsidR="00CD5E38" w:rsidRPr="00B40AE6">
        <w:rPr>
          <w:rFonts w:hint="eastAsia"/>
        </w:rPr>
        <w:t>ü</w:t>
      </w:r>
      <w:r w:rsidR="00CD5E38" w:rsidRPr="00B40AE6">
        <w:t>let</w:t>
      </w:r>
      <w:r w:rsidR="00CD5E38" w:rsidRPr="00B40AE6">
        <w:rPr>
          <w:rFonts w:hint="eastAsia"/>
        </w:rPr>
        <w:t>á</w:t>
      </w:r>
      <w:r w:rsidR="00CD5E38" w:rsidRPr="00B40AE6">
        <w:t>llom</w:t>
      </w:r>
      <w:r w:rsidR="00CD5E38" w:rsidRPr="00B40AE6">
        <w:rPr>
          <w:rFonts w:hint="eastAsia"/>
        </w:rPr>
        <w:t>á</w:t>
      </w:r>
      <w:r w:rsidR="00CD5E38" w:rsidRPr="00B40AE6">
        <w:t>ny korszer</w:t>
      </w:r>
      <w:r w:rsidR="00CD5E38" w:rsidRPr="00B40AE6">
        <w:rPr>
          <w:rFonts w:hint="eastAsia"/>
        </w:rPr>
        <w:t>ű</w:t>
      </w:r>
      <w:r w:rsidR="00CD5E38" w:rsidRPr="00B40AE6">
        <w:t>s</w:t>
      </w:r>
      <w:r w:rsidR="00CD5E38" w:rsidRPr="00B40AE6">
        <w:rPr>
          <w:rFonts w:hint="eastAsia"/>
        </w:rPr>
        <w:t>í</w:t>
      </w:r>
      <w:r w:rsidR="00CD5E38" w:rsidRPr="00B40AE6">
        <w:t>t</w:t>
      </w:r>
      <w:r w:rsidR="00CD5E38" w:rsidRPr="00B40AE6">
        <w:rPr>
          <w:rFonts w:hint="eastAsia"/>
        </w:rPr>
        <w:t>é</w:t>
      </w:r>
      <w:r w:rsidR="00CD5E38" w:rsidRPr="00B40AE6">
        <w:t>se, korszer</w:t>
      </w:r>
      <w:r w:rsidR="00CD5E38" w:rsidRPr="00B40AE6">
        <w:rPr>
          <w:rFonts w:hint="eastAsia"/>
        </w:rPr>
        <w:t>ű</w:t>
      </w:r>
      <w:r w:rsidR="00CD5E38" w:rsidRPr="00B40AE6">
        <w:t xml:space="preserve"> technol</w:t>
      </w:r>
      <w:r w:rsidR="00CD5E38" w:rsidRPr="00B40AE6">
        <w:rPr>
          <w:rFonts w:hint="eastAsia"/>
        </w:rPr>
        <w:t>ó</w:t>
      </w:r>
      <w:r w:rsidR="00CD5E38" w:rsidRPr="00B40AE6">
        <w:t>gi</w:t>
      </w:r>
      <w:r w:rsidR="00CD5E38" w:rsidRPr="00B40AE6">
        <w:rPr>
          <w:rFonts w:hint="eastAsia"/>
        </w:rPr>
        <w:t>á</w:t>
      </w:r>
      <w:r w:rsidR="00CD5E38" w:rsidRPr="00B40AE6">
        <w:t>k alkalmaz</w:t>
      </w:r>
      <w:r w:rsidR="00CD5E38" w:rsidRPr="00B40AE6">
        <w:rPr>
          <w:rFonts w:hint="eastAsia"/>
        </w:rPr>
        <w:t>á</w:t>
      </w:r>
      <w:r w:rsidR="00CD5E38" w:rsidRPr="00B40AE6">
        <w:t>sa a gazd</w:t>
      </w:r>
      <w:r w:rsidR="00CD5E38" w:rsidRPr="00B40AE6">
        <w:rPr>
          <w:rFonts w:hint="eastAsia"/>
        </w:rPr>
        <w:t>á</w:t>
      </w:r>
      <w:r w:rsidR="00CD5E38" w:rsidRPr="00B40AE6">
        <w:t>lk</w:t>
      </w:r>
      <w:r w:rsidR="00CD5E38" w:rsidRPr="00B40AE6">
        <w:t>o</w:t>
      </w:r>
      <w:r w:rsidR="00CD5E38" w:rsidRPr="00B40AE6">
        <w:t>d</w:t>
      </w:r>
      <w:r w:rsidR="00CD5E38" w:rsidRPr="00B40AE6">
        <w:rPr>
          <w:rFonts w:hint="eastAsia"/>
        </w:rPr>
        <w:t>á</w:t>
      </w:r>
      <w:r w:rsidR="00CD5E38" w:rsidRPr="00B40AE6">
        <w:t xml:space="preserve">s </w:t>
      </w:r>
      <w:r w:rsidR="00CD5E38" w:rsidRPr="00B40AE6">
        <w:rPr>
          <w:rFonts w:hint="eastAsia"/>
        </w:rPr>
        <w:t>ö</w:t>
      </w:r>
      <w:r w:rsidR="00CD5E38" w:rsidRPr="00B40AE6">
        <w:t>sszteljes</w:t>
      </w:r>
      <w:r w:rsidR="00CD5E38" w:rsidRPr="00B40AE6">
        <w:rPr>
          <w:rFonts w:hint="eastAsia"/>
        </w:rPr>
        <w:t>í</w:t>
      </w:r>
      <w:r w:rsidR="00CD5E38" w:rsidRPr="00B40AE6">
        <w:t>tm</w:t>
      </w:r>
      <w:r w:rsidR="00CD5E38" w:rsidRPr="00B40AE6">
        <w:rPr>
          <w:rFonts w:hint="eastAsia"/>
        </w:rPr>
        <w:t>é</w:t>
      </w:r>
      <w:r w:rsidR="00CD5E38" w:rsidRPr="00B40AE6">
        <w:t>ny</w:t>
      </w:r>
      <w:r w:rsidR="00CD5E38" w:rsidRPr="00B40AE6">
        <w:rPr>
          <w:rFonts w:hint="eastAsia"/>
        </w:rPr>
        <w:t>é</w:t>
      </w:r>
      <w:r w:rsidR="00CD5E38" w:rsidRPr="00B40AE6">
        <w:t>nek jav</w:t>
      </w:r>
      <w:r w:rsidR="00CD5E38" w:rsidRPr="00B40AE6">
        <w:rPr>
          <w:rFonts w:hint="eastAsia"/>
        </w:rPr>
        <w:t>í</w:t>
      </w:r>
      <w:r w:rsidR="00CD5E38" w:rsidRPr="00B40AE6">
        <w:t>t</w:t>
      </w:r>
      <w:r w:rsidR="00CD5E38" w:rsidRPr="00B40AE6">
        <w:rPr>
          <w:rFonts w:hint="eastAsia"/>
        </w:rPr>
        <w:t>á</w:t>
      </w:r>
      <w:r w:rsidR="00CD5E38" w:rsidRPr="00B40AE6">
        <w:t>sa</w:t>
      </w:r>
      <w:r w:rsidR="00CD5E38">
        <w:t xml:space="preserve"> </w:t>
      </w:r>
      <w:r w:rsidR="00CD5E38" w:rsidRPr="00B40AE6">
        <w:rPr>
          <w:rFonts w:hint="eastAsia"/>
        </w:rPr>
        <w:t>é</w:t>
      </w:r>
      <w:r w:rsidR="00CD5E38" w:rsidRPr="00B40AE6">
        <w:t>rdek</w:t>
      </w:r>
      <w:r w:rsidR="00CD5E38" w:rsidRPr="00B40AE6">
        <w:rPr>
          <w:rFonts w:hint="eastAsia"/>
        </w:rPr>
        <w:t>é</w:t>
      </w:r>
      <w:r w:rsidR="00CD5E38" w:rsidRPr="00B40AE6">
        <w:t>ben</w:t>
      </w:r>
      <w:r w:rsidRPr="00F64639">
        <w:t>.</w:t>
      </w:r>
    </w:p>
    <w:p w:rsidR="00197460" w:rsidRPr="00F64639" w:rsidRDefault="00197460" w:rsidP="00197460">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44"/>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197460"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197460" w:rsidRPr="00F64639" w:rsidRDefault="00197460"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197460" w:rsidRPr="00F64639" w:rsidRDefault="006003D3" w:rsidP="000B0E4C">
            <w:pPr>
              <w:jc w:val="center"/>
              <w:rPr>
                <w:b/>
                <w:bCs/>
                <w:iCs/>
                <w:color w:val="FFFFFF"/>
                <w:szCs w:val="22"/>
              </w:rPr>
            </w:pPr>
            <w:r w:rsidRPr="00F64639">
              <w:rPr>
                <w:b/>
                <w:bCs/>
                <w:iCs/>
                <w:color w:val="FFFFFF"/>
                <w:szCs w:val="22"/>
              </w:rPr>
              <w:t>Kertészeti üzemek korszerűsítése</w:t>
            </w:r>
          </w:p>
        </w:tc>
      </w:tr>
      <w:tr w:rsidR="00030C49"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030C49" w:rsidRPr="00F64639" w:rsidRDefault="00030C49"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030C49" w:rsidRPr="00F64639" w:rsidRDefault="00C15098" w:rsidP="000B0E4C">
            <w:pPr>
              <w:jc w:val="center"/>
              <w:rPr>
                <w:rFonts w:cs="Arial"/>
                <w:sz w:val="18"/>
                <w:szCs w:val="18"/>
              </w:rPr>
            </w:pPr>
            <w:r w:rsidRPr="00F64639">
              <w:rPr>
                <w:iCs/>
                <w:szCs w:val="22"/>
              </w:rPr>
              <w:t>intézkedés szinten került meghatározásra</w:t>
            </w:r>
          </w:p>
        </w:tc>
      </w:tr>
      <w:tr w:rsidR="00030C49" w:rsidRPr="00F64639" w:rsidTr="000B0E4C">
        <w:tc>
          <w:tcPr>
            <w:tcW w:w="2778" w:type="pct"/>
            <w:tcBorders>
              <w:left w:val="single" w:sz="8" w:space="0" w:color="FFFFFF"/>
              <w:bottom w:val="nil"/>
              <w:right w:val="single" w:sz="24" w:space="0" w:color="FFFFFF"/>
            </w:tcBorders>
            <w:shd w:val="clear" w:color="auto" w:fill="C0504D"/>
          </w:tcPr>
          <w:p w:rsidR="00030C49" w:rsidRPr="00F64639" w:rsidRDefault="00030C49"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030C49" w:rsidRPr="00F64639" w:rsidRDefault="00030C49" w:rsidP="000B0E4C">
            <w:pPr>
              <w:jc w:val="center"/>
              <w:rPr>
                <w:iCs/>
                <w:szCs w:val="22"/>
              </w:rPr>
            </w:pPr>
            <w:r w:rsidRPr="00F64639">
              <w:rPr>
                <w:iCs/>
                <w:szCs w:val="22"/>
              </w:rPr>
              <w:t>178 db</w:t>
            </w:r>
          </w:p>
        </w:tc>
      </w:tr>
      <w:tr w:rsidR="00030C49"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030C49" w:rsidRPr="00F64639" w:rsidRDefault="00030C49"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030C49" w:rsidRPr="00F64639" w:rsidRDefault="00030C49" w:rsidP="000B0E4C">
            <w:pPr>
              <w:jc w:val="center"/>
              <w:rPr>
                <w:iCs/>
                <w:szCs w:val="22"/>
              </w:rPr>
            </w:pPr>
            <w:r w:rsidRPr="00F64639">
              <w:rPr>
                <w:iCs/>
                <w:szCs w:val="22"/>
              </w:rPr>
              <w:t>178 db</w:t>
            </w:r>
          </w:p>
        </w:tc>
      </w:tr>
      <w:tr w:rsidR="00030C49" w:rsidRPr="00F64639" w:rsidTr="000B0E4C">
        <w:tc>
          <w:tcPr>
            <w:tcW w:w="2778" w:type="pct"/>
            <w:tcBorders>
              <w:left w:val="single" w:sz="8" w:space="0" w:color="FFFFFF"/>
              <w:bottom w:val="nil"/>
              <w:right w:val="single" w:sz="24" w:space="0" w:color="FFFFFF"/>
            </w:tcBorders>
            <w:shd w:val="clear" w:color="auto" w:fill="C0504D"/>
          </w:tcPr>
          <w:p w:rsidR="00030C49" w:rsidRPr="00F64639" w:rsidRDefault="00030C49"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030C49" w:rsidRPr="00F64639" w:rsidRDefault="00030C49" w:rsidP="000B0E4C">
            <w:pPr>
              <w:jc w:val="center"/>
              <w:rPr>
                <w:iCs/>
                <w:szCs w:val="22"/>
              </w:rPr>
            </w:pPr>
            <w:r w:rsidRPr="00F64639">
              <w:rPr>
                <w:iCs/>
                <w:szCs w:val="22"/>
              </w:rPr>
              <w:t>78 db</w:t>
            </w:r>
          </w:p>
        </w:tc>
      </w:tr>
      <w:tr w:rsidR="00030C49"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030C49" w:rsidRPr="00F64639" w:rsidRDefault="00030C49"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030C49" w:rsidRPr="00F64639" w:rsidRDefault="00030C49" w:rsidP="000B0E4C">
            <w:pPr>
              <w:jc w:val="center"/>
              <w:rPr>
                <w:iCs/>
                <w:szCs w:val="22"/>
              </w:rPr>
            </w:pPr>
            <w:r w:rsidRPr="00F64639">
              <w:rPr>
                <w:iCs/>
                <w:szCs w:val="22"/>
              </w:rPr>
              <w:t>14 668 131 478 Ft</w:t>
            </w:r>
            <w:r w:rsidRPr="00F64639">
              <w:rPr>
                <w:rStyle w:val="FootnoteReference"/>
                <w:iCs/>
                <w:szCs w:val="22"/>
              </w:rPr>
              <w:footnoteReference w:id="45"/>
            </w:r>
          </w:p>
        </w:tc>
      </w:tr>
      <w:tr w:rsidR="00030C49" w:rsidRPr="00F64639" w:rsidTr="000B0E4C">
        <w:tc>
          <w:tcPr>
            <w:tcW w:w="2778" w:type="pct"/>
            <w:tcBorders>
              <w:left w:val="single" w:sz="8" w:space="0" w:color="FFFFFF"/>
              <w:right w:val="single" w:sz="24" w:space="0" w:color="FFFFFF"/>
            </w:tcBorders>
            <w:shd w:val="clear" w:color="auto" w:fill="C0504D"/>
          </w:tcPr>
          <w:p w:rsidR="00030C49" w:rsidRPr="00F64639" w:rsidRDefault="00030C49" w:rsidP="000B0E4C">
            <w:pPr>
              <w:jc w:val="both"/>
              <w:rPr>
                <w:b/>
                <w:bCs/>
                <w:iCs/>
                <w:color w:val="FFFFFF"/>
                <w:szCs w:val="22"/>
              </w:rPr>
            </w:pPr>
            <w:r w:rsidRPr="00F64639">
              <w:rPr>
                <w:b/>
                <w:bCs/>
                <w:iCs/>
                <w:color w:val="FFFFFF"/>
                <w:szCs w:val="22"/>
              </w:rPr>
              <w:lastRenderedPageBreak/>
              <w:t>Halmozott kifizetés (2010.06.30-ig)</w:t>
            </w:r>
          </w:p>
        </w:tc>
        <w:tc>
          <w:tcPr>
            <w:tcW w:w="2222" w:type="pct"/>
            <w:shd w:val="clear" w:color="auto" w:fill="EFD3D2"/>
          </w:tcPr>
          <w:p w:rsidR="00030C49" w:rsidRPr="00F64639" w:rsidRDefault="00030C49" w:rsidP="000B0E4C">
            <w:pPr>
              <w:jc w:val="center"/>
              <w:rPr>
                <w:color w:val="000000"/>
              </w:rPr>
            </w:pPr>
            <w:r w:rsidRPr="00F64639">
              <w:rPr>
                <w:color w:val="000000"/>
              </w:rPr>
              <w:t xml:space="preserve">2 388 219 763 </w:t>
            </w:r>
            <w:r w:rsidRPr="00F64639">
              <w:rPr>
                <w:bCs/>
                <w:color w:val="000000"/>
              </w:rPr>
              <w:t>Ft</w:t>
            </w:r>
            <w:r w:rsidRPr="00F64639">
              <w:rPr>
                <w:rStyle w:val="FootnoteReference"/>
                <w:iCs/>
                <w:szCs w:val="22"/>
              </w:rPr>
              <w:footnoteReference w:id="46"/>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11</w:t>
      </w:r>
      <w:r w:rsidRPr="00F64639">
        <w:rPr>
          <w:color w:val="auto"/>
        </w:rPr>
        <w:fldChar w:fldCharType="end"/>
      </w:r>
      <w:r w:rsidR="00AB435B" w:rsidRPr="00F64639">
        <w:rPr>
          <w:color w:val="auto"/>
        </w:rPr>
        <w:t xml:space="preserve">. </w:t>
      </w:r>
      <w:proofErr w:type="gramStart"/>
      <w:r w:rsidR="00AB435B" w:rsidRPr="00F64639">
        <w:rPr>
          <w:color w:val="auto"/>
        </w:rPr>
        <w:t>táblázat</w:t>
      </w:r>
      <w:proofErr w:type="gramEnd"/>
      <w:r w:rsidR="00AB435B" w:rsidRPr="00F64639">
        <w:rPr>
          <w:color w:val="auto"/>
        </w:rPr>
        <w:t>: A jogcím általános jellemzői</w:t>
      </w:r>
    </w:p>
    <w:p w:rsidR="00197460" w:rsidRPr="00F64639" w:rsidRDefault="00AE6554" w:rsidP="00B45380">
      <w:pPr>
        <w:pStyle w:val="HUNNormal"/>
        <w:tabs>
          <w:tab w:val="left" w:pos="709"/>
        </w:tabs>
        <w:rPr>
          <w:b/>
        </w:rPr>
      </w:pPr>
      <w:r w:rsidRPr="00F64639">
        <w:rPr>
          <w:b/>
        </w:rPr>
        <w:t xml:space="preserve">Támogatás </w:t>
      </w:r>
      <w:r w:rsidR="00B45380" w:rsidRPr="00F64639">
        <w:rPr>
          <w:b/>
        </w:rPr>
        <w:t xml:space="preserve">a </w:t>
      </w:r>
      <w:r w:rsidRPr="00F64639">
        <w:rPr>
          <w:b/>
        </w:rPr>
        <w:t>kertészeti termelő tevékenységet szolgáló létes</w:t>
      </w:r>
      <w:r w:rsidR="00B45380" w:rsidRPr="00F64639">
        <w:rPr>
          <w:b/>
        </w:rPr>
        <w:t>ítmények építésére, korszerűsítésére</w:t>
      </w:r>
      <w:r w:rsidRPr="00F64639">
        <w:rPr>
          <w:b/>
        </w:rPr>
        <w:t xml:space="preserve"> (1. célt</w:t>
      </w:r>
      <w:r w:rsidRPr="00F64639">
        <w:rPr>
          <w:b/>
        </w:rPr>
        <w:t>e</w:t>
      </w:r>
      <w:r w:rsidRPr="00F64639">
        <w:rPr>
          <w:b/>
        </w:rPr>
        <w:t xml:space="preserve">rület), új tároló, </w:t>
      </w:r>
      <w:r w:rsidR="00B45380" w:rsidRPr="00F64639">
        <w:rPr>
          <w:b/>
        </w:rPr>
        <w:t>manipuláló létesítmények építésére</w:t>
      </w:r>
      <w:r w:rsidRPr="00F64639">
        <w:rPr>
          <w:b/>
        </w:rPr>
        <w:t xml:space="preserve"> </w:t>
      </w:r>
      <w:r w:rsidR="00B45380" w:rsidRPr="00F64639">
        <w:rPr>
          <w:b/>
        </w:rPr>
        <w:t xml:space="preserve">(2. célterület), továbbá a </w:t>
      </w:r>
      <w:r w:rsidRPr="00F64639">
        <w:rPr>
          <w:b/>
        </w:rPr>
        <w:t>kertészeti létesítménye</w:t>
      </w:r>
      <w:r w:rsidR="00B45380" w:rsidRPr="00F64639">
        <w:rPr>
          <w:b/>
        </w:rPr>
        <w:t>k ene</w:t>
      </w:r>
      <w:r w:rsidR="00B45380" w:rsidRPr="00F64639">
        <w:rPr>
          <w:b/>
        </w:rPr>
        <w:t>r</w:t>
      </w:r>
      <w:r w:rsidR="00B45380" w:rsidRPr="00F64639">
        <w:rPr>
          <w:b/>
        </w:rPr>
        <w:t>giaellátásának biztosítására</w:t>
      </w:r>
      <w:r w:rsidRPr="00F64639">
        <w:rPr>
          <w:b/>
        </w:rPr>
        <w:t xml:space="preserve"> (</w:t>
      </w:r>
      <w:r w:rsidR="00B45380" w:rsidRPr="00F64639">
        <w:rPr>
          <w:b/>
        </w:rPr>
        <w:t>3. célterület) lehetett igénybe venni.</w:t>
      </w:r>
    </w:p>
    <w:p w:rsidR="00AE6554" w:rsidRPr="00F64639" w:rsidRDefault="00B45380" w:rsidP="00AE6554">
      <w:pPr>
        <w:pStyle w:val="HUNNormal"/>
        <w:tabs>
          <w:tab w:val="left" w:pos="709"/>
        </w:tabs>
      </w:pPr>
      <w:r w:rsidRPr="00F64639">
        <w:t>A támogatás mértéke a célterületeknél eltérő volt, továbbá az ügyfél besorolása is befolyásolta. Így 35-60% között változott a támogatási intenzitás a termelői csoportokat, a fiatal mezőgazdasági termelőket, a KAT, illetve NATURA 2000 területen gazdálkodókat preferálva.</w:t>
      </w:r>
    </w:p>
    <w:p w:rsidR="00CD5E38" w:rsidRPr="00F64639" w:rsidRDefault="00AE6554" w:rsidP="00CD5E38">
      <w:pPr>
        <w:pStyle w:val="HUNNormal"/>
        <w:tabs>
          <w:tab w:val="left" w:pos="709"/>
        </w:tabs>
      </w:pPr>
      <w:r w:rsidRPr="00F64639">
        <w:rPr>
          <w:b/>
        </w:rPr>
        <w:t xml:space="preserve">A </w:t>
      </w:r>
      <w:proofErr w:type="gramStart"/>
      <w:r w:rsidRPr="00F64639">
        <w:rPr>
          <w:b/>
        </w:rPr>
        <w:t>támogatást</w:t>
      </w:r>
      <w:proofErr w:type="gramEnd"/>
      <w:r w:rsidRPr="00F64639">
        <w:rPr>
          <w:b/>
        </w:rPr>
        <w:t xml:space="preserve"> a kertészet tevékenységet is végző mezőgazdasági termelők, illetve termelői csoportok, sze</w:t>
      </w:r>
      <w:r w:rsidRPr="00F64639">
        <w:rPr>
          <w:b/>
        </w:rPr>
        <w:t>r</w:t>
      </w:r>
      <w:r w:rsidRPr="00F64639">
        <w:rPr>
          <w:b/>
        </w:rPr>
        <w:t>vezetek vehették igénybe.</w:t>
      </w:r>
      <w:r w:rsidRPr="00F64639">
        <w:t xml:space="preserve"> Előbbiek üzemi méretének meg kellett haladnia a 4 </w:t>
      </w:r>
      <w:proofErr w:type="spellStart"/>
      <w:r w:rsidRPr="00F64639">
        <w:t>EUME-t</w:t>
      </w:r>
      <w:proofErr w:type="spellEnd"/>
      <w:r w:rsidR="00B031E3" w:rsidRPr="00F64639">
        <w:t>,</w:t>
      </w:r>
      <w:r w:rsidRPr="00F64639">
        <w:t xml:space="preserve"> kivéve</w:t>
      </w:r>
      <w:r w:rsidR="00B031E3" w:rsidRPr="00F64639">
        <w:t>,</w:t>
      </w:r>
      <w:r w:rsidRPr="00F64639">
        <w:t xml:space="preserve"> ha induló vállalkozás nyújtotta be a kérelmet. </w:t>
      </w:r>
      <w:r w:rsidR="00CD5E38" w:rsidRPr="00F64639">
        <w:t xml:space="preserve">Ez esetben a beruházás befejezését követő </w:t>
      </w:r>
      <w:r w:rsidR="00CD5E38">
        <w:t xml:space="preserve">első teljes </w:t>
      </w:r>
      <w:r w:rsidR="00CD5E38" w:rsidRPr="00F64639">
        <w:t>naptári évben kellett teljesíteni ezt a követelményt.</w:t>
      </w:r>
    </w:p>
    <w:p w:rsidR="00197460" w:rsidRPr="00F64639" w:rsidRDefault="00197460" w:rsidP="00197460">
      <w:pPr>
        <w:pStyle w:val="HUNNormal"/>
        <w:tabs>
          <w:tab w:val="left" w:pos="709"/>
        </w:tabs>
      </w:pPr>
      <w:r w:rsidRPr="00F64639">
        <w:t xml:space="preserve">A jóváhagyott támogatási kérelmek megyei bontását értékelve megállapítható, hogy a legtöbb kérelem </w:t>
      </w:r>
      <w:r w:rsidR="00771112" w:rsidRPr="00F64639">
        <w:t xml:space="preserve">Csongrád, Bács-Kiskun és </w:t>
      </w:r>
      <w:r w:rsidRPr="00F64639">
        <w:t>Sza</w:t>
      </w:r>
      <w:r w:rsidR="00771112" w:rsidRPr="00F64639">
        <w:t xml:space="preserve">bolcs-Szatmár-Bereg </w:t>
      </w:r>
      <w:r w:rsidRPr="00F64639">
        <w:t>megyékből érkezett (rendre 2</w:t>
      </w:r>
      <w:r w:rsidR="00771112" w:rsidRPr="00F64639">
        <w:t>5</w:t>
      </w:r>
      <w:r w:rsidRPr="00F64639">
        <w:t>,</w:t>
      </w:r>
      <w:r w:rsidR="00771112" w:rsidRPr="00F64639">
        <w:t>28</w:t>
      </w:r>
      <w:r w:rsidRPr="00F64639">
        <w:t>%, 1</w:t>
      </w:r>
      <w:r w:rsidR="00771112" w:rsidRPr="00F64639">
        <w:t>6,29</w:t>
      </w:r>
      <w:r w:rsidRPr="00F64639">
        <w:t xml:space="preserve">% és </w:t>
      </w:r>
      <w:r w:rsidR="00771112" w:rsidRPr="00F64639">
        <w:t>12,92</w:t>
      </w:r>
      <w:r w:rsidRPr="00F64639">
        <w:t xml:space="preserve">%). A legkevesebb kérelem </w:t>
      </w:r>
      <w:r w:rsidR="00771112" w:rsidRPr="00F64639">
        <w:t>Tolna</w:t>
      </w:r>
      <w:r w:rsidRPr="00F64639">
        <w:t xml:space="preserve">, Komárom-Esztergom és Nógrád megyéből érkezett (rendre </w:t>
      </w:r>
      <w:r w:rsidR="00771112" w:rsidRPr="00F64639">
        <w:t>0,56</w:t>
      </w:r>
      <w:r w:rsidRPr="00F64639">
        <w:t xml:space="preserve">%, </w:t>
      </w:r>
      <w:r w:rsidR="00771112" w:rsidRPr="00F64639">
        <w:t>0,56</w:t>
      </w:r>
      <w:r w:rsidRPr="00F64639">
        <w:t>% és 1,</w:t>
      </w:r>
      <w:r w:rsidR="00771112" w:rsidRPr="00F64639">
        <w:t>12</w:t>
      </w:r>
      <w:r w:rsidRPr="00F64639">
        <w:t>%). A jóváhagyott kérelmek többsége hátrányos helyzetű, LHH vagy komplex LHH kistérségből származik (rendre 2</w:t>
      </w:r>
      <w:r w:rsidR="00771112" w:rsidRPr="00F64639">
        <w:t>3</w:t>
      </w:r>
      <w:r w:rsidRPr="00F64639">
        <w:t xml:space="preserve">%, </w:t>
      </w:r>
      <w:r w:rsidR="00771112" w:rsidRPr="00F64639">
        <w:t>11</w:t>
      </w:r>
      <w:r w:rsidRPr="00F64639">
        <w:t xml:space="preserve">% és </w:t>
      </w:r>
      <w:r w:rsidR="00771112" w:rsidRPr="00F64639">
        <w:t>19</w:t>
      </w:r>
      <w:r w:rsidRPr="00F64639">
        <w:t>%).</w:t>
      </w:r>
    </w:p>
    <w:p w:rsidR="00197460" w:rsidRPr="00F64639" w:rsidRDefault="00197460" w:rsidP="00197460">
      <w:pPr>
        <w:pStyle w:val="HUNNormal"/>
        <w:tabs>
          <w:tab w:val="left" w:pos="709"/>
        </w:tabs>
      </w:pPr>
      <w:r w:rsidRPr="00F64639">
        <w:rPr>
          <w:b/>
        </w:rPr>
        <w:t xml:space="preserve">A jóváhagyott támogatási kérelmek többsége </w:t>
      </w:r>
      <w:r w:rsidR="0089259C" w:rsidRPr="00F64639">
        <w:rPr>
          <w:b/>
        </w:rPr>
        <w:t xml:space="preserve">természetes személyektől </w:t>
      </w:r>
      <w:r w:rsidRPr="00F64639">
        <w:rPr>
          <w:b/>
        </w:rPr>
        <w:t>származik (</w:t>
      </w:r>
      <w:r w:rsidR="00771112" w:rsidRPr="00F64639">
        <w:rPr>
          <w:b/>
        </w:rPr>
        <w:t>52</w:t>
      </w:r>
      <w:r w:rsidRPr="00F64639">
        <w:rPr>
          <w:b/>
        </w:rPr>
        <w:t>%). A szervezetek közül a legtöbb jóváhagyott kérelem a kis</w:t>
      </w:r>
      <w:r w:rsidR="00771112" w:rsidRPr="00F64639">
        <w:rPr>
          <w:b/>
        </w:rPr>
        <w:t xml:space="preserve">- és közepes </w:t>
      </w:r>
      <w:r w:rsidRPr="00F64639">
        <w:rPr>
          <w:b/>
        </w:rPr>
        <w:t>vállalatoktól érkezett be (</w:t>
      </w:r>
      <w:r w:rsidR="00771112" w:rsidRPr="00F64639">
        <w:rPr>
          <w:b/>
        </w:rPr>
        <w:t>rendre 30% és 20%</w:t>
      </w:r>
      <w:r w:rsidRPr="00F64639">
        <w:rPr>
          <w:b/>
        </w:rPr>
        <w:t>):</w:t>
      </w:r>
      <w:r w:rsidRPr="00F64639">
        <w:t xml:space="preserve"> figy</w:t>
      </w:r>
      <w:r w:rsidRPr="00F64639">
        <w:t>e</w:t>
      </w:r>
      <w:r w:rsidRPr="00F64639">
        <w:t>lemre méltó, hogy a nagyvállalat</w:t>
      </w:r>
      <w:r w:rsidR="00771112" w:rsidRPr="00F64639">
        <w:t>ok mindössze 13</w:t>
      </w:r>
      <w:r w:rsidRPr="00F64639">
        <w:t>%-os részesedéssel bírnak.</w:t>
      </w:r>
    </w:p>
    <w:p w:rsidR="0089259C" w:rsidRPr="00F64639" w:rsidRDefault="0089259C" w:rsidP="00C15098">
      <w:pPr>
        <w:pStyle w:val="HUNNormal"/>
        <w:tabs>
          <w:tab w:val="left" w:pos="709"/>
        </w:tabs>
      </w:pPr>
    </w:p>
    <w:p w:rsidR="0089259C" w:rsidRPr="00F64639" w:rsidRDefault="0089259C" w:rsidP="0089259C">
      <w:pPr>
        <w:pStyle w:val="HUNNormal"/>
        <w:tabs>
          <w:tab w:val="left" w:pos="709"/>
        </w:tabs>
      </w:pPr>
      <w:r w:rsidRPr="00F64639">
        <w:t>Az intézkedésre első körben beérkezett kérelmek jelentős része elutasításra került. A kérelmezőktől beérk</w:t>
      </w:r>
      <w:r w:rsidRPr="00F64639">
        <w:t>e</w:t>
      </w:r>
      <w:r w:rsidRPr="00F64639">
        <w:t xml:space="preserve">zett vélemények szerint a magas elutasítási arány egyik oka a rendeletben szereplő szakmailag nem teljesen megalapozott jogosultsági kritériumok betű szerinti végrehajtása volt. </w:t>
      </w:r>
    </w:p>
    <w:p w:rsidR="0089259C" w:rsidRPr="00F64639" w:rsidRDefault="0089259C" w:rsidP="0089259C">
      <w:pPr>
        <w:pStyle w:val="HUNNormal"/>
        <w:tabs>
          <w:tab w:val="left" w:pos="709"/>
        </w:tabs>
      </w:pPr>
      <w:r w:rsidRPr="00F64639">
        <w:t>Nagyon sok problémát okozott, hogy az építési költségtételek egy része sem a Normagyűjteménybe, sem a Mezőgazdasági Gépkatalógusba nem sorolható be.</w:t>
      </w:r>
    </w:p>
    <w:p w:rsidR="00C15098" w:rsidRPr="00F64639" w:rsidRDefault="00C15098" w:rsidP="00C15098">
      <w:pPr>
        <w:pStyle w:val="HUNNormal"/>
        <w:tabs>
          <w:tab w:val="left" w:pos="709"/>
        </w:tabs>
      </w:pPr>
      <w:r w:rsidRPr="00F64639">
        <w:t>A projektek költségszerkezetének elemezés</w:t>
      </w:r>
      <w:r w:rsidR="00022B4D" w:rsidRPr="00F64639">
        <w:t>e</w:t>
      </w:r>
      <w:r w:rsidRPr="00F64639">
        <w:t xml:space="preserve"> alapján megállapítható, hogy a támogatottak </w:t>
      </w:r>
      <w:r w:rsidR="00FD7AC4" w:rsidRPr="00F64639">
        <w:t>83%-</w:t>
      </w:r>
      <w:r w:rsidRPr="00F64639">
        <w:t>ban</w:t>
      </w:r>
      <w:r w:rsidR="00FD7AC4" w:rsidRPr="00F64639">
        <w:t xml:space="preserve"> az </w:t>
      </w:r>
      <w:proofErr w:type="spellStart"/>
      <w:r w:rsidR="00FD7AC4" w:rsidRPr="00F64639">
        <w:t>ÉNGY-ből</w:t>
      </w:r>
      <w:proofErr w:type="spellEnd"/>
      <w:r w:rsidR="00FD7AC4" w:rsidRPr="00F64639">
        <w:t xml:space="preserve"> végzett építési beruházásokra, 11%-ban a Gépkatalógusból végzett gépbeszerzésekre, valamint 6%-ban egyéb beszerzésekre használták fel a megítélt </w:t>
      </w:r>
      <w:proofErr w:type="gramStart"/>
      <w:r w:rsidR="00FD7AC4" w:rsidRPr="00F64639">
        <w:t>támogatást</w:t>
      </w:r>
      <w:r w:rsidR="00FD7AC4" w:rsidRPr="00F64639">
        <w:rPr>
          <w:rStyle w:val="FootnoteReference"/>
        </w:rPr>
        <w:footnoteReference w:id="47"/>
      </w:r>
      <w:r w:rsidR="00FD7AC4" w:rsidRPr="00F64639">
        <w:t>.</w:t>
      </w:r>
      <w:proofErr w:type="gramEnd"/>
      <w:r w:rsidRPr="00F64639">
        <w:t xml:space="preserve"> </w:t>
      </w:r>
    </w:p>
    <w:p w:rsidR="00EE0CC1" w:rsidRPr="00F64639" w:rsidRDefault="00EE0CC1" w:rsidP="006A14D3">
      <w:pPr>
        <w:pStyle w:val="HUNNormal"/>
        <w:tabs>
          <w:tab w:val="left" w:pos="709"/>
        </w:tabs>
      </w:pPr>
      <w:proofErr w:type="gramStart"/>
      <w:r w:rsidRPr="00F64639">
        <w:t xml:space="preserve">A megítélt támogatási összegeket vizsgálva megállapítható, hogy a támogatottak alsó </w:t>
      </w:r>
      <w:proofErr w:type="spellStart"/>
      <w:r w:rsidRPr="00F64639">
        <w:t>kvartilisébe</w:t>
      </w:r>
      <w:proofErr w:type="spellEnd"/>
      <w:r w:rsidRPr="00F64639">
        <w:t xml:space="preserve"> (a tám</w:t>
      </w:r>
      <w:r w:rsidRPr="00F64639">
        <w:t>o</w:t>
      </w:r>
      <w:r w:rsidRPr="00F64639">
        <w:t>gatottak 25%-a, akik a legkevesebb támogatást kapták) tartozó kedvezményezettek átlagosan 9 </w:t>
      </w:r>
      <w:r w:rsidR="004168A9" w:rsidRPr="00F64639">
        <w:t>608 390</w:t>
      </w:r>
      <w:r w:rsidRPr="00F64639">
        <w:t xml:space="preserve"> Ft-ot, a középső két </w:t>
      </w:r>
      <w:proofErr w:type="spellStart"/>
      <w:r w:rsidRPr="00F64639">
        <w:t>kvartilisbe</w:t>
      </w:r>
      <w:proofErr w:type="spellEnd"/>
      <w:r w:rsidRPr="00F64639">
        <w:t xml:space="preserve"> tartozók rendre átlagosan </w:t>
      </w:r>
      <w:r w:rsidR="004168A9" w:rsidRPr="00F64639">
        <w:t>32 360 408</w:t>
      </w:r>
      <w:r w:rsidRPr="00F64639">
        <w:t xml:space="preserve"> Ft-ot és </w:t>
      </w:r>
      <w:r w:rsidR="004168A9" w:rsidRPr="00F64639">
        <w:t>85 685 433</w:t>
      </w:r>
      <w:r w:rsidRPr="00F64639">
        <w:t xml:space="preserve"> Ft-ot, míg a le</w:t>
      </w:r>
      <w:r w:rsidRPr="00F64639">
        <w:t>g</w:t>
      </w:r>
      <w:r w:rsidRPr="00F64639">
        <w:t xml:space="preserve">felső </w:t>
      </w:r>
      <w:proofErr w:type="spellStart"/>
      <w:r w:rsidRPr="00F64639">
        <w:t>kvartilisbe</w:t>
      </w:r>
      <w:proofErr w:type="spellEnd"/>
      <w:r w:rsidRPr="00F64639">
        <w:t xml:space="preserve"> (a támogatottak 25%-a, akik a legtöbb támogatást kapták) tartozó kedvezményezettek átl</w:t>
      </w:r>
      <w:r w:rsidRPr="00F64639">
        <w:t>a</w:t>
      </w:r>
      <w:r w:rsidRPr="00F64639">
        <w:t xml:space="preserve">gosan </w:t>
      </w:r>
      <w:r w:rsidR="004168A9" w:rsidRPr="00F64639">
        <w:t>200 927 487</w:t>
      </w:r>
      <w:r w:rsidRPr="00F64639">
        <w:t xml:space="preserve"> Ft-ot kaptak.</w:t>
      </w:r>
      <w:proofErr w:type="gramEnd"/>
    </w:p>
    <w:p w:rsidR="00197460" w:rsidRDefault="00197460" w:rsidP="006A14D3">
      <w:pPr>
        <w:pStyle w:val="HUNNormal"/>
        <w:tabs>
          <w:tab w:val="left" w:pos="709"/>
        </w:tabs>
      </w:pPr>
      <w:r w:rsidRPr="00F64639">
        <w:lastRenderedPageBreak/>
        <w:t>Ami az átfutási időket illet, megállapítható, hogy a támogatási kérelmek átlagos átfutási ideje 2</w:t>
      </w:r>
      <w:r w:rsidR="00771112" w:rsidRPr="00F64639">
        <w:t>73</w:t>
      </w:r>
      <w:r w:rsidRPr="00F64639">
        <w:t xml:space="preserve"> naptári nap, a kifizetési kérelmeké pedig </w:t>
      </w:r>
      <w:r w:rsidR="00771112" w:rsidRPr="00F64639">
        <w:t>110</w:t>
      </w:r>
      <w:r w:rsidRPr="00F64639">
        <w:t xml:space="preserve"> naptári nap. Amennyiben a támogatási kérelmek bírálati folyamatának egyes </w:t>
      </w:r>
      <w:proofErr w:type="spellStart"/>
      <w:r w:rsidRPr="00F64639">
        <w:t>alfolyamatait</w:t>
      </w:r>
      <w:proofErr w:type="spellEnd"/>
      <w:r w:rsidRPr="00F64639">
        <w:t xml:space="preserve"> elemezzük, a kép még kedvezőtlenebb: a</w:t>
      </w:r>
      <w:r w:rsidR="00022B4D" w:rsidRPr="00F64639">
        <w:t xml:space="preserve"> </w:t>
      </w:r>
      <w:r w:rsidR="00771112" w:rsidRPr="00F64639">
        <w:t>96</w:t>
      </w:r>
      <w:r w:rsidRPr="00F64639">
        <w:t xml:space="preserve"> db lezárt kérelem vizsgálata alapján az </w:t>
      </w:r>
      <w:proofErr w:type="spellStart"/>
      <w:r w:rsidRPr="00F64639">
        <w:t>MVH-nál</w:t>
      </w:r>
      <w:proofErr w:type="spellEnd"/>
      <w:r w:rsidRPr="00F64639">
        <w:t xml:space="preserve"> töltött átlagos idő 2</w:t>
      </w:r>
      <w:r w:rsidR="00771112" w:rsidRPr="00F64639">
        <w:t>45</w:t>
      </w:r>
      <w:r w:rsidRPr="00F64639">
        <w:t xml:space="preserve"> naptári nap, az </w:t>
      </w:r>
      <w:proofErr w:type="spellStart"/>
      <w:r w:rsidRPr="00F64639">
        <w:t>IH-ná</w:t>
      </w:r>
      <w:r w:rsidR="00771112" w:rsidRPr="00F64639">
        <w:t>l</w:t>
      </w:r>
      <w:proofErr w:type="spellEnd"/>
      <w:r w:rsidRPr="00F64639">
        <w:t xml:space="preserve"> </w:t>
      </w:r>
      <w:r w:rsidR="00771112" w:rsidRPr="00F64639">
        <w:t>2</w:t>
      </w:r>
      <w:r w:rsidRPr="00F64639">
        <w:t xml:space="preserve"> nap, míg az ügyfélnél </w:t>
      </w:r>
      <w:r w:rsidR="00771112" w:rsidRPr="00F64639">
        <w:t>43</w:t>
      </w:r>
      <w:r w:rsidRPr="00F64639">
        <w:t xml:space="preserve"> naptári nap.</w:t>
      </w:r>
    </w:p>
    <w:p w:rsidR="00AC1FD2" w:rsidRPr="00F64639" w:rsidRDefault="00776364" w:rsidP="00E60698">
      <w:pPr>
        <w:pStyle w:val="HUNHeading4"/>
        <w:ind w:hanging="1728"/>
      </w:pPr>
      <w:r w:rsidRPr="00F64639">
        <w:t>Önálló, építéssel nem járó gépek, technológiai berendezések beszerzése</w:t>
      </w:r>
    </w:p>
    <w:p w:rsidR="00E247E1" w:rsidRPr="00F64639" w:rsidRDefault="00E247E1" w:rsidP="006A14D3">
      <w:pPr>
        <w:pStyle w:val="HUNNormal"/>
        <w:tabs>
          <w:tab w:val="left" w:pos="709"/>
        </w:tabs>
      </w:pPr>
      <w:r w:rsidRPr="00F64639">
        <w:t xml:space="preserve">Az </w:t>
      </w:r>
      <w:r w:rsidRPr="00F64639">
        <w:rPr>
          <w:b/>
        </w:rPr>
        <w:t>Önálló, építéssel nem járó gépek, technológiai berendezések beszerzése</w:t>
      </w:r>
      <w:r w:rsidRPr="00F64639">
        <w:t xml:space="preserve"> jogcím célja a mezőgazdasági üzemek korszerűsítése, a mezőgazdasági gépállomány korösszetételének javítása, továbbá a környezetb</w:t>
      </w:r>
      <w:r w:rsidRPr="00F64639">
        <w:t>a</w:t>
      </w:r>
      <w:r w:rsidRPr="00F64639">
        <w:t>rát (energiatakarékos) gépek és techno</w:t>
      </w:r>
      <w:r w:rsidR="00961BE7" w:rsidRPr="00F64639">
        <w:t>lógiai berendezések beszerzése.</w:t>
      </w:r>
      <w:r w:rsidR="00E75745" w:rsidRPr="00F64639">
        <w:t xml:space="preserve"> A jogcímet két körben hirdették meg.</w:t>
      </w:r>
    </w:p>
    <w:p w:rsidR="00E247E1" w:rsidRPr="00F64639" w:rsidRDefault="00E247E1" w:rsidP="00E247E1">
      <w:pPr>
        <w:pStyle w:val="HUNNormal"/>
      </w:pPr>
      <w:r w:rsidRPr="00F64639">
        <w:t xml:space="preserve">A következő táblázat szemlélteti a jogcím főbb </w:t>
      </w:r>
      <w:proofErr w:type="gramStart"/>
      <w:r w:rsidRPr="00F64639">
        <w:t>adatait</w:t>
      </w:r>
      <w:r w:rsidRPr="00F64639">
        <w:rPr>
          <w:vertAlign w:val="superscript"/>
        </w:rPr>
        <w:footnoteReference w:id="48"/>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E247E1"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E247E1" w:rsidRPr="00F64639" w:rsidRDefault="002741A8" w:rsidP="000B0E4C">
            <w:pPr>
              <w:jc w:val="center"/>
              <w:rPr>
                <w:b/>
                <w:bCs/>
                <w:iCs/>
                <w:color w:val="FFFFFF"/>
                <w:szCs w:val="22"/>
              </w:rPr>
            </w:pPr>
            <w:r w:rsidRPr="00F64639">
              <w:rPr>
                <w:b/>
                <w:bCs/>
                <w:iCs/>
                <w:color w:val="FFFFFF"/>
                <w:szCs w:val="22"/>
              </w:rPr>
              <w:t>Gépbeszerezés</w:t>
            </w:r>
          </w:p>
        </w:tc>
      </w:tr>
      <w:tr w:rsidR="00E247E1"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E247E1" w:rsidRPr="00F64639" w:rsidRDefault="00C15098" w:rsidP="000B0E4C">
            <w:pPr>
              <w:jc w:val="center"/>
              <w:rPr>
                <w:rFonts w:cs="Arial"/>
                <w:sz w:val="18"/>
                <w:szCs w:val="18"/>
              </w:rPr>
            </w:pPr>
            <w:r w:rsidRPr="00F64639">
              <w:rPr>
                <w:iCs/>
                <w:szCs w:val="22"/>
              </w:rPr>
              <w:t>intézkedés szinten került meghatározásra</w:t>
            </w:r>
          </w:p>
        </w:tc>
      </w:tr>
      <w:tr w:rsidR="00E247E1" w:rsidRPr="00F64639" w:rsidTr="000B0E4C">
        <w:tc>
          <w:tcPr>
            <w:tcW w:w="2778" w:type="pct"/>
            <w:tcBorders>
              <w:left w:val="single" w:sz="8" w:space="0" w:color="FFFFFF"/>
              <w:bottom w:val="nil"/>
              <w:right w:val="single" w:sz="24"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E247E1" w:rsidRPr="00F64639" w:rsidRDefault="00850CF8" w:rsidP="000B0E4C">
            <w:pPr>
              <w:jc w:val="center"/>
              <w:rPr>
                <w:iCs/>
                <w:szCs w:val="22"/>
              </w:rPr>
            </w:pPr>
            <w:r w:rsidRPr="00F64639">
              <w:rPr>
                <w:iCs/>
                <w:szCs w:val="22"/>
              </w:rPr>
              <w:t>7256 db</w:t>
            </w:r>
          </w:p>
        </w:tc>
      </w:tr>
      <w:tr w:rsidR="00E247E1"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E247E1" w:rsidRPr="00F64639" w:rsidRDefault="00850CF8" w:rsidP="000B0E4C">
            <w:pPr>
              <w:jc w:val="center"/>
              <w:rPr>
                <w:iCs/>
                <w:szCs w:val="22"/>
              </w:rPr>
            </w:pPr>
            <w:r w:rsidRPr="00F64639">
              <w:rPr>
                <w:iCs/>
                <w:szCs w:val="22"/>
              </w:rPr>
              <w:t>9122 db</w:t>
            </w:r>
          </w:p>
        </w:tc>
      </w:tr>
      <w:tr w:rsidR="00E247E1" w:rsidRPr="00F64639" w:rsidTr="000B0E4C">
        <w:tc>
          <w:tcPr>
            <w:tcW w:w="2778" w:type="pct"/>
            <w:tcBorders>
              <w:left w:val="single" w:sz="8" w:space="0" w:color="FFFFFF"/>
              <w:bottom w:val="nil"/>
              <w:right w:val="single" w:sz="24"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E247E1" w:rsidRPr="00F64639" w:rsidRDefault="00850CF8" w:rsidP="000B0E4C">
            <w:pPr>
              <w:jc w:val="center"/>
              <w:rPr>
                <w:iCs/>
                <w:szCs w:val="22"/>
              </w:rPr>
            </w:pPr>
            <w:r w:rsidRPr="00F64639">
              <w:rPr>
                <w:iCs/>
                <w:szCs w:val="22"/>
              </w:rPr>
              <w:t>10 120 db</w:t>
            </w:r>
          </w:p>
        </w:tc>
      </w:tr>
      <w:tr w:rsidR="00E247E1"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E247E1" w:rsidRPr="00F64639" w:rsidRDefault="00850CF8" w:rsidP="000B0E4C">
            <w:pPr>
              <w:jc w:val="center"/>
              <w:rPr>
                <w:iCs/>
                <w:szCs w:val="22"/>
              </w:rPr>
            </w:pPr>
            <w:r w:rsidRPr="00F64639">
              <w:rPr>
                <w:iCs/>
                <w:szCs w:val="22"/>
              </w:rPr>
              <w:t>76 784 719 852</w:t>
            </w:r>
            <w:r w:rsidR="00E247E1" w:rsidRPr="00F64639">
              <w:rPr>
                <w:iCs/>
                <w:szCs w:val="22"/>
              </w:rPr>
              <w:t xml:space="preserve"> Ft</w:t>
            </w:r>
            <w:r w:rsidR="00E247E1" w:rsidRPr="00F64639">
              <w:rPr>
                <w:rStyle w:val="FootnoteReference"/>
                <w:iCs/>
                <w:szCs w:val="22"/>
              </w:rPr>
              <w:footnoteReference w:id="49"/>
            </w:r>
          </w:p>
        </w:tc>
      </w:tr>
      <w:tr w:rsidR="00E247E1" w:rsidRPr="00F64639" w:rsidTr="000B0E4C">
        <w:tc>
          <w:tcPr>
            <w:tcW w:w="2778" w:type="pct"/>
            <w:tcBorders>
              <w:left w:val="single" w:sz="8" w:space="0" w:color="FFFFFF"/>
              <w:right w:val="single" w:sz="24" w:space="0" w:color="FFFFFF"/>
            </w:tcBorders>
            <w:shd w:val="clear" w:color="auto" w:fill="C0504D"/>
          </w:tcPr>
          <w:p w:rsidR="00E247E1" w:rsidRPr="00F64639" w:rsidRDefault="00E247E1"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E247E1" w:rsidRPr="00F64639" w:rsidRDefault="00850CF8" w:rsidP="000B0E4C">
            <w:pPr>
              <w:jc w:val="center"/>
              <w:rPr>
                <w:iCs/>
                <w:szCs w:val="22"/>
              </w:rPr>
            </w:pPr>
            <w:r w:rsidRPr="00F64639">
              <w:rPr>
                <w:iCs/>
                <w:szCs w:val="22"/>
              </w:rPr>
              <w:t>65 524 935 153</w:t>
            </w:r>
            <w:r w:rsidR="00E247E1" w:rsidRPr="00F64639">
              <w:rPr>
                <w:iCs/>
                <w:szCs w:val="22"/>
              </w:rPr>
              <w:t xml:space="preserve"> Ft</w:t>
            </w:r>
            <w:r w:rsidR="00E247E1" w:rsidRPr="00F64639">
              <w:rPr>
                <w:rStyle w:val="FootnoteReference"/>
                <w:iCs/>
                <w:szCs w:val="22"/>
              </w:rPr>
              <w:footnoteReference w:id="50"/>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12</w:t>
      </w:r>
      <w:r w:rsidRPr="00F64639">
        <w:rPr>
          <w:color w:val="auto"/>
        </w:rPr>
        <w:fldChar w:fldCharType="end"/>
      </w:r>
      <w:r w:rsidR="00AB435B" w:rsidRPr="00F64639">
        <w:rPr>
          <w:color w:val="auto"/>
        </w:rPr>
        <w:t>. táblázat: A jogcím általános jellemzői</w:t>
      </w:r>
    </w:p>
    <w:p w:rsidR="00776364" w:rsidRPr="00F64639" w:rsidRDefault="00776364" w:rsidP="00776364">
      <w:pPr>
        <w:pStyle w:val="HUNNormal"/>
        <w:tabs>
          <w:tab w:val="left" w:pos="709"/>
        </w:tabs>
        <w:rPr>
          <w:b/>
        </w:rPr>
      </w:pPr>
      <w:r w:rsidRPr="00F64639">
        <w:t>A jogcím az energia-megtakarítás, a környezetvédelem és a hatékonyság növelése céljából magában foglalja az alkalmazott gépek és technológiai berendezések modernizációját, ugyanezek korstruktúrájának javítását, a régi gépek jobb környezeti teljesítményű gépekre való cseréjét, valamint az agrotechnikai és technológiai szint emelését célzó fejlesztéseket. Ezen kívül az intézkedés támogatja az új technológiák, valamint a term</w:t>
      </w:r>
      <w:r w:rsidRPr="00F64639">
        <w:t>e</w:t>
      </w:r>
      <w:r w:rsidRPr="00F64639">
        <w:t xml:space="preserve">lést és az értékesítést elősegítő információs rendszerek bevezetését. </w:t>
      </w:r>
      <w:r w:rsidRPr="00F64639">
        <w:rPr>
          <w:b/>
        </w:rPr>
        <w:t>Támogatás a meghatározott gépcs</w:t>
      </w:r>
      <w:r w:rsidRPr="00F64639">
        <w:rPr>
          <w:b/>
        </w:rPr>
        <w:t>o</w:t>
      </w:r>
      <w:r w:rsidRPr="00F64639">
        <w:rPr>
          <w:b/>
        </w:rPr>
        <w:t>portokba és gépkatalógusi kódok alá tartozó mezőgazdasági gépek és technológiai berendezések beszerz</w:t>
      </w:r>
      <w:r w:rsidRPr="00F64639">
        <w:rPr>
          <w:b/>
        </w:rPr>
        <w:t>é</w:t>
      </w:r>
      <w:r w:rsidRPr="00F64639">
        <w:rPr>
          <w:b/>
        </w:rPr>
        <w:t>sére</w:t>
      </w:r>
      <w:r w:rsidR="00C53354" w:rsidRPr="00F64639">
        <w:rPr>
          <w:b/>
        </w:rPr>
        <w:t xml:space="preserve"> volt igénybe vehető</w:t>
      </w:r>
      <w:r w:rsidR="00B031E3" w:rsidRPr="00F64639">
        <w:rPr>
          <w:b/>
        </w:rPr>
        <w:t>.</w:t>
      </w:r>
    </w:p>
    <w:p w:rsidR="00776364" w:rsidRPr="00F64639" w:rsidRDefault="00776364" w:rsidP="00776364">
      <w:pPr>
        <w:pStyle w:val="HUNNormal"/>
        <w:tabs>
          <w:tab w:val="left" w:pos="709"/>
        </w:tabs>
      </w:pPr>
      <w:r w:rsidRPr="00F64639">
        <w:t>A támogatást olyan mezőgazdasági termelők igényelhették, akiknek növénytermelésből vagy, állattenyés</w:t>
      </w:r>
      <w:r w:rsidRPr="00F64639">
        <w:t>z</w:t>
      </w:r>
      <w:r w:rsidRPr="00F64639">
        <w:t xml:space="preserve">tésből, vagy takarmány előállításból, illetve vegyes gazdálkodásból származó üzem mérete a 4 </w:t>
      </w:r>
      <w:proofErr w:type="spellStart"/>
      <w:r w:rsidRPr="00F64639">
        <w:t>EUME-t</w:t>
      </w:r>
      <w:proofErr w:type="spellEnd"/>
      <w:r w:rsidRPr="00F64639">
        <w:t xml:space="preserve"> </w:t>
      </w:r>
      <w:r w:rsidR="007F5ACB" w:rsidRPr="00F64639">
        <w:t>me</w:t>
      </w:r>
      <w:r w:rsidR="007F5ACB" w:rsidRPr="00F64639">
        <w:t>g</w:t>
      </w:r>
      <w:r w:rsidR="007F5ACB" w:rsidRPr="00F64639">
        <w:t xml:space="preserve">haladta </w:t>
      </w:r>
      <w:r w:rsidR="00CD5E38">
        <w:t>(kivéve induló vállalkozás,</w:t>
      </w:r>
      <w:r w:rsidR="00CD5E38" w:rsidRPr="00CD5E38">
        <w:t xml:space="preserve"> </w:t>
      </w:r>
      <w:r w:rsidR="00CD5E38" w:rsidRPr="00F64639">
        <w:t>amelynek ezt a beruházás</w:t>
      </w:r>
      <w:r w:rsidR="00CD5E38">
        <w:t xml:space="preserve"> befejezését</w:t>
      </w:r>
      <w:r w:rsidR="00CD5E38" w:rsidRPr="00F64639">
        <w:t xml:space="preserve"> követő első </w:t>
      </w:r>
      <w:r w:rsidR="00CD5E38">
        <w:t xml:space="preserve">teljes naptári </w:t>
      </w:r>
      <w:r w:rsidR="00CD5E38" w:rsidRPr="00F64639">
        <w:t>évben kellett teljesítenie).</w:t>
      </w:r>
    </w:p>
    <w:p w:rsidR="00CC3655" w:rsidRPr="00F64639" w:rsidRDefault="00CC3655" w:rsidP="00CC3655">
      <w:pPr>
        <w:pStyle w:val="HUNNormal"/>
        <w:tabs>
          <w:tab w:val="left" w:pos="709"/>
        </w:tabs>
      </w:pPr>
      <w:r w:rsidRPr="00F64639">
        <w:t>A támogatás maximális mértéke támogatási időszakonként legfeljebb 735.000 eurónak megfelelő forintö</w:t>
      </w:r>
      <w:r w:rsidRPr="00F64639">
        <w:t>s</w:t>
      </w:r>
      <w:r w:rsidRPr="00F64639">
        <w:t>szeg lehetett, 25 %-os, a kiemelten támogatott gépek (kertészethez, állattenyésztéshez és a megújuló ene</w:t>
      </w:r>
      <w:r w:rsidRPr="00F64639">
        <w:t>r</w:t>
      </w:r>
      <w:r w:rsidRPr="00F64639">
        <w:t>gia előállításához használatos gépek) esetén legfeljebb 35 %-os intenzitással.</w:t>
      </w:r>
    </w:p>
    <w:p w:rsidR="00C53354" w:rsidRPr="00F64639" w:rsidRDefault="00C53354" w:rsidP="00C53354">
      <w:pPr>
        <w:pStyle w:val="HUNNormal"/>
        <w:tabs>
          <w:tab w:val="left" w:pos="709"/>
        </w:tabs>
      </w:pPr>
      <w:r w:rsidRPr="00F64639">
        <w:lastRenderedPageBreak/>
        <w:t>A támogatást objektív szempontok alapján ítélték oda. A bírálati szempontok 35%-a szakmai (TÉSZ, besze</w:t>
      </w:r>
      <w:r w:rsidRPr="00F64639">
        <w:t>r</w:t>
      </w:r>
      <w:r w:rsidRPr="00F64639">
        <w:t>zendő gép jellemzői), 65%-a horizontális szempontot képviselt. Utóbbi szempontok a munkahely megő</w:t>
      </w:r>
      <w:r w:rsidRPr="00F64639">
        <w:t>r</w:t>
      </w:r>
      <w:r w:rsidRPr="00F64639">
        <w:t xml:space="preserve">zés/bővítés; az AKG támogatás tényét, a hátrányos helyzetű térségeket, </w:t>
      </w:r>
      <w:r w:rsidR="00CC3655" w:rsidRPr="00F64639">
        <w:t>nőket (a pályázó nő, vagy foglalko</w:t>
      </w:r>
      <w:r w:rsidR="00CC3655" w:rsidRPr="00F64639">
        <w:t>z</w:t>
      </w:r>
      <w:r w:rsidR="00CC3655" w:rsidRPr="00F64639">
        <w:t>tat női alkalmazottat), a roma származásúakat (a pályázó roma, vagy foglalkoztat roma alkalmazottat),</w:t>
      </w:r>
      <w:r w:rsidRPr="00F64639">
        <w:t xml:space="preserve"> a reális üzleti tervet és a gazdasági vállalásokat (árbevétel, termelékenység) kívánták preferálni.</w:t>
      </w:r>
      <w:r w:rsidR="0040478B" w:rsidRPr="00F64639">
        <w:t xml:space="preserve"> A horizontális szempontok érvényesülésének ellenőrzésekor a következő képet kaptuk:</w:t>
      </w:r>
    </w:p>
    <w:p w:rsidR="00EF4C2E" w:rsidRPr="00F64639" w:rsidRDefault="005574B5" w:rsidP="00EF4C2E">
      <w:pPr>
        <w:pStyle w:val="HUNNormal"/>
        <w:numPr>
          <w:ilvl w:val="0"/>
          <w:numId w:val="32"/>
        </w:numPr>
        <w:tabs>
          <w:tab w:val="left" w:pos="709"/>
        </w:tabs>
      </w:pPr>
      <w:r w:rsidRPr="00F64639">
        <w:rPr>
          <w:b/>
          <w:i/>
        </w:rPr>
        <w:t>M</w:t>
      </w:r>
      <w:r w:rsidR="00EF4C2E" w:rsidRPr="00F64639">
        <w:rPr>
          <w:b/>
          <w:i/>
        </w:rPr>
        <w:t>unkahelymegőrzés/teremtés</w:t>
      </w:r>
      <w:r w:rsidR="00EF4C2E" w:rsidRPr="00F64639">
        <w:t xml:space="preserve">: a </w:t>
      </w:r>
      <w:r w:rsidR="00D10C76" w:rsidRPr="00F64639">
        <w:t>potenciálvizsgálati</w:t>
      </w:r>
      <w:r w:rsidR="00A759F0" w:rsidRPr="00F64639">
        <w:t xml:space="preserve"> részben részletesen elemezzük.</w:t>
      </w:r>
    </w:p>
    <w:p w:rsidR="00392033" w:rsidRPr="00F64639" w:rsidRDefault="00392033" w:rsidP="00EF4C2E">
      <w:pPr>
        <w:pStyle w:val="HUNNormal"/>
        <w:numPr>
          <w:ilvl w:val="0"/>
          <w:numId w:val="32"/>
        </w:numPr>
        <w:tabs>
          <w:tab w:val="left" w:pos="709"/>
        </w:tabs>
      </w:pPr>
      <w:r w:rsidRPr="00F64639">
        <w:rPr>
          <w:b/>
          <w:i/>
        </w:rPr>
        <w:t>AKG támogatás</w:t>
      </w:r>
      <w:r w:rsidRPr="00F64639">
        <w:t xml:space="preserve"> </w:t>
      </w:r>
      <w:proofErr w:type="gramStart"/>
      <w:r w:rsidRPr="00F64639">
        <w:t>ténye</w:t>
      </w:r>
      <w:r w:rsidR="00CB4D02" w:rsidRPr="00F64639">
        <w:rPr>
          <w:rStyle w:val="FootnoteReference"/>
        </w:rPr>
        <w:footnoteReference w:id="51"/>
      </w:r>
      <w:r w:rsidRPr="00F64639">
        <w:t>:</w:t>
      </w:r>
      <w:proofErr w:type="gramEnd"/>
      <w:r w:rsidRPr="00F64639">
        <w:t xml:space="preserve"> </w:t>
      </w:r>
      <w:r w:rsidR="0040478B" w:rsidRPr="00F64639">
        <w:t xml:space="preserve">2147 </w:t>
      </w:r>
      <w:r w:rsidR="00EF4C2E" w:rsidRPr="00F64639">
        <w:t xml:space="preserve">db </w:t>
      </w:r>
      <w:r w:rsidR="0040478B" w:rsidRPr="00F64639">
        <w:t xml:space="preserve">olyan támogatott van </w:t>
      </w:r>
      <w:r w:rsidR="00EF4C2E" w:rsidRPr="00F64639">
        <w:t>a G</w:t>
      </w:r>
      <w:r w:rsidR="0040478B" w:rsidRPr="00F64639">
        <w:t>épbeszerzés</w:t>
      </w:r>
      <w:r w:rsidR="00EF4C2E" w:rsidRPr="00F64639">
        <w:t xml:space="preserve"> jogcím</w:t>
      </w:r>
      <w:r w:rsidR="0040478B" w:rsidRPr="00F64639">
        <w:t>ben</w:t>
      </w:r>
      <w:r w:rsidR="00EF4C2E" w:rsidRPr="00F64639">
        <w:t xml:space="preserve"> (</w:t>
      </w:r>
      <w:r w:rsidR="006C6256" w:rsidRPr="00F64639">
        <w:t xml:space="preserve">a </w:t>
      </w:r>
      <w:r w:rsidR="00EF4C2E" w:rsidRPr="00F64639">
        <w:t>7256 db ke</w:t>
      </w:r>
      <w:r w:rsidR="00EF4C2E" w:rsidRPr="00F64639">
        <w:t>d</w:t>
      </w:r>
      <w:r w:rsidR="00EF4C2E" w:rsidRPr="00F64639">
        <w:t>vezményezett</w:t>
      </w:r>
      <w:r w:rsidR="006C6256" w:rsidRPr="00F64639">
        <w:t xml:space="preserve"> közül</w:t>
      </w:r>
      <w:r w:rsidR="00EF4C2E" w:rsidRPr="00F64639">
        <w:t>)</w:t>
      </w:r>
      <w:r w:rsidR="00A759F0" w:rsidRPr="00F64639">
        <w:t xml:space="preserve"> aki</w:t>
      </w:r>
      <w:r w:rsidR="0040478B" w:rsidRPr="00F64639">
        <w:t xml:space="preserve"> </w:t>
      </w:r>
      <w:r w:rsidR="006C6256" w:rsidRPr="00F64639">
        <w:t>AKG támogatásban is részesült</w:t>
      </w:r>
      <w:r w:rsidR="0040478B" w:rsidRPr="00F64639">
        <w:t>.</w:t>
      </w:r>
    </w:p>
    <w:p w:rsidR="00EF4C2E" w:rsidRPr="00F64639" w:rsidRDefault="00EF4C2E" w:rsidP="00EF4C2E">
      <w:pPr>
        <w:pStyle w:val="HUNNormal"/>
        <w:numPr>
          <w:ilvl w:val="0"/>
          <w:numId w:val="32"/>
        </w:numPr>
        <w:tabs>
          <w:tab w:val="left" w:pos="709"/>
        </w:tabs>
      </w:pPr>
      <w:r w:rsidRPr="00F64639">
        <w:rPr>
          <w:b/>
          <w:i/>
        </w:rPr>
        <w:t xml:space="preserve">Hátrányos helyzetű </w:t>
      </w:r>
      <w:proofErr w:type="gramStart"/>
      <w:r w:rsidRPr="00F64639">
        <w:rPr>
          <w:b/>
          <w:i/>
        </w:rPr>
        <w:t>térségek</w:t>
      </w:r>
      <w:r w:rsidR="00CB4D02" w:rsidRPr="00F64639">
        <w:rPr>
          <w:rStyle w:val="FootnoteReference"/>
        </w:rPr>
        <w:footnoteReference w:id="52"/>
      </w:r>
      <w:r w:rsidRPr="00F64639">
        <w:t>:</w:t>
      </w:r>
      <w:proofErr w:type="gramEnd"/>
      <w:r w:rsidRPr="00F64639">
        <w:t xml:space="preserve"> a jóváhagyott támogatási kérelmek több mint fele érkezett hátrányos helyzetű, LHH vagy komplex LHH kistérségből (rendre 29,08%, 7,48% és 17,68%).</w:t>
      </w:r>
    </w:p>
    <w:p w:rsidR="00EF4C2E" w:rsidRPr="00F64639" w:rsidRDefault="00EF4C2E" w:rsidP="00EF4C2E">
      <w:pPr>
        <w:pStyle w:val="HUNNormal"/>
        <w:numPr>
          <w:ilvl w:val="0"/>
          <w:numId w:val="32"/>
        </w:numPr>
        <w:tabs>
          <w:tab w:val="left" w:pos="709"/>
        </w:tabs>
      </w:pPr>
      <w:r w:rsidRPr="00F64639">
        <w:rPr>
          <w:b/>
          <w:i/>
        </w:rPr>
        <w:t xml:space="preserve">Női </w:t>
      </w:r>
      <w:proofErr w:type="gramStart"/>
      <w:r w:rsidRPr="00F64639">
        <w:rPr>
          <w:b/>
          <w:i/>
        </w:rPr>
        <w:t>pályázók</w:t>
      </w:r>
      <w:r w:rsidR="005E718B" w:rsidRPr="00F64639">
        <w:rPr>
          <w:rStyle w:val="FootnoteReference"/>
        </w:rPr>
        <w:footnoteReference w:id="53"/>
      </w:r>
      <w:r w:rsidRPr="00F64639">
        <w:t>:</w:t>
      </w:r>
      <w:proofErr w:type="gramEnd"/>
      <w:r w:rsidR="005E718B" w:rsidRPr="00F64639">
        <w:t xml:space="preserve"> az e-monitoring a</w:t>
      </w:r>
      <w:r w:rsidR="00A759F0" w:rsidRPr="00F64639">
        <w:t xml:space="preserve">datszolgáltatás adatai alapján </w:t>
      </w:r>
      <w:r w:rsidR="005E718B" w:rsidRPr="00F64639">
        <w:t xml:space="preserve">7256 kedvezményezett közül 6914-en adtak be adatszolgáltatást </w:t>
      </w:r>
      <w:r w:rsidR="006C6256" w:rsidRPr="00F64639">
        <w:t xml:space="preserve">a </w:t>
      </w:r>
      <w:r w:rsidR="005E718B" w:rsidRPr="00F64639">
        <w:t>2009</w:t>
      </w:r>
      <w:r w:rsidR="006C6256" w:rsidRPr="00F64639">
        <w:t>-es</w:t>
      </w:r>
      <w:r w:rsidR="005E718B" w:rsidRPr="00F64639">
        <w:t xml:space="preserve"> évre</w:t>
      </w:r>
      <w:r w:rsidR="006C6256" w:rsidRPr="00F64639">
        <w:t>. A</w:t>
      </w:r>
      <w:r w:rsidR="005E718B" w:rsidRPr="00F64639">
        <w:t xml:space="preserve"> női kedvezményezettek</w:t>
      </w:r>
      <w:r w:rsidR="00CC3655" w:rsidRPr="00F64639">
        <w:t>, illetve nőket is foglalkozt</w:t>
      </w:r>
      <w:r w:rsidR="00CC3655" w:rsidRPr="00F64639">
        <w:t>a</w:t>
      </w:r>
      <w:r w:rsidR="00CC3655" w:rsidRPr="00F64639">
        <w:t>tók</w:t>
      </w:r>
      <w:r w:rsidR="005E718B" w:rsidRPr="00F64639">
        <w:t xml:space="preserve"> száma 690, szemb</w:t>
      </w:r>
      <w:r w:rsidR="00A759F0" w:rsidRPr="00F64639">
        <w:t xml:space="preserve">en a férfiak 3987-es értékével, </w:t>
      </w:r>
      <w:r w:rsidR="005E718B" w:rsidRPr="00F64639">
        <w:t>2237 regisztrációs szám</w:t>
      </w:r>
      <w:r w:rsidR="006C6256" w:rsidRPr="00F64639">
        <w:t xml:space="preserve">nál </w:t>
      </w:r>
      <w:r w:rsidR="00A759F0" w:rsidRPr="00F64639">
        <w:t xml:space="preserve">pedig </w:t>
      </w:r>
      <w:r w:rsidR="006C6256" w:rsidRPr="00F64639">
        <w:t>nem talá</w:t>
      </w:r>
      <w:r w:rsidR="006C6256" w:rsidRPr="00F64639">
        <w:t>l</w:t>
      </w:r>
      <w:r w:rsidR="006C6256" w:rsidRPr="00F64639">
        <w:t>tunk rögzített adatot</w:t>
      </w:r>
      <w:r w:rsidR="00B031E3" w:rsidRPr="00F64639">
        <w:t>.</w:t>
      </w:r>
      <w:r w:rsidR="00CC3655" w:rsidRPr="00F64639">
        <w:t xml:space="preserve"> </w:t>
      </w:r>
    </w:p>
    <w:p w:rsidR="00776364" w:rsidRPr="00F64639" w:rsidRDefault="00C53354" w:rsidP="00C53354">
      <w:pPr>
        <w:pStyle w:val="HUNNormal"/>
        <w:tabs>
          <w:tab w:val="left" w:pos="709"/>
        </w:tabs>
      </w:pPr>
      <w:r w:rsidRPr="00F64639">
        <w:t xml:space="preserve">A kérelemben vállalást kellett tenni a művelt területre, a munkavállalói létszámra, illetve </w:t>
      </w:r>
      <w:proofErr w:type="spellStart"/>
      <w:r w:rsidRPr="00F64639">
        <w:t>TÉSZ-ként</w:t>
      </w:r>
      <w:proofErr w:type="spellEnd"/>
      <w:r w:rsidRPr="00F64639">
        <w:t xml:space="preserve"> az árb</w:t>
      </w:r>
      <w:r w:rsidRPr="00F64639">
        <w:t>e</w:t>
      </w:r>
      <w:r w:rsidRPr="00F64639">
        <w:t>vételre, és az árbevétel növekményre. Ezek nem teljesítése szankciót von</w:t>
      </w:r>
      <w:r w:rsidR="00562CE6" w:rsidRPr="00F64639">
        <w:t>t</w:t>
      </w:r>
      <w:r w:rsidRPr="00F64639">
        <w:t xml:space="preserve"> maga után.</w:t>
      </w:r>
    </w:p>
    <w:p w:rsidR="00850CF8" w:rsidRPr="00F64639" w:rsidRDefault="00850CF8" w:rsidP="00A423C3">
      <w:pPr>
        <w:pStyle w:val="HUNNormal"/>
        <w:tabs>
          <w:tab w:val="left" w:pos="709"/>
        </w:tabs>
      </w:pPr>
      <w:r w:rsidRPr="00F64639">
        <w:t>A jóváhagyott támogatási kérelmek megyei bontását vizsgálva megállapítható, hogy nincs jelentős eltérés az egyes megyék között. A legtöbb jóváhagyott kérelem Bács-Kiskun és Szabolcs-Szatmár megyéből érkezett (rendre 8,82% és 8,00%), míg a legkevesebb Budapestről és Nógrád megyéből (rendre 0,75% és 1,49%). Ami a kérelmek kistérségi megoszlását illeti</w:t>
      </w:r>
      <w:r w:rsidR="00562CE6" w:rsidRPr="00F64639">
        <w:t>.</w:t>
      </w:r>
    </w:p>
    <w:p w:rsidR="006C6256" w:rsidRPr="00F64639" w:rsidRDefault="00850CF8" w:rsidP="00A423C3">
      <w:pPr>
        <w:pStyle w:val="HUNNormal"/>
        <w:tabs>
          <w:tab w:val="left" w:pos="709"/>
        </w:tabs>
      </w:pPr>
      <w:r w:rsidRPr="00F64639">
        <w:rPr>
          <w:b/>
        </w:rPr>
        <w:t>A jóváhagyott támogatási kérelmek többsége (64,83%) magánszemélytől érkezett</w:t>
      </w:r>
      <w:r w:rsidRPr="00F64639">
        <w:t xml:space="preserve"> – a szervez</w:t>
      </w:r>
      <w:r w:rsidR="0014383E" w:rsidRPr="00F64639">
        <w:t>e</w:t>
      </w:r>
      <w:r w:rsidRPr="00F64639">
        <w:t>tek közül jellemzően a kisvállalkozásoktól érkeztek kérelmek</w:t>
      </w:r>
      <w:r w:rsidRPr="00F64639">
        <w:rPr>
          <w:rStyle w:val="FootnoteReference"/>
        </w:rPr>
        <w:footnoteReference w:id="54"/>
      </w:r>
      <w:r w:rsidRPr="00F64639">
        <w:t xml:space="preserve"> (43,75%).</w:t>
      </w:r>
      <w:r w:rsidR="0014383E" w:rsidRPr="00F64639">
        <w:t xml:space="preserve"> Amennyiben a jóváhagyott támogatási ö</w:t>
      </w:r>
      <w:r w:rsidR="0014383E" w:rsidRPr="00F64639">
        <w:t>s</w:t>
      </w:r>
      <w:r w:rsidR="0014383E" w:rsidRPr="00F64639">
        <w:t>szegek megoszlását vizsgáljuk, megállapítható, hogy az összegek 66%-a került magánszemélyekhez, a sze</w:t>
      </w:r>
      <w:r w:rsidR="0014383E" w:rsidRPr="00F64639">
        <w:t>r</w:t>
      </w:r>
      <w:r w:rsidR="0014383E" w:rsidRPr="00F64639">
        <w:t>vezetek közül pedig a kisvállalkozások "vitték el"”a legtöbb támogatást (62%).</w:t>
      </w:r>
    </w:p>
    <w:p w:rsidR="00337E1C" w:rsidRPr="00F64639" w:rsidRDefault="00337E1C" w:rsidP="00337E1C">
      <w:pPr>
        <w:pStyle w:val="HUNNormal"/>
        <w:tabs>
          <w:tab w:val="left" w:pos="709"/>
        </w:tabs>
      </w:pPr>
      <w:r w:rsidRPr="00F64639">
        <w:t xml:space="preserve">A támogatási kérelmek elbírálása többi jogcímhez viszonyítva problémamentesnek mondható, mivel ez volt a legegyszerűbben összeállítható kérelem (nem kellett üzleti terv). A leggyakoribb elutasítási indok az volt, hogy az üzemméret nem érte el a 4 </w:t>
      </w:r>
      <w:proofErr w:type="spellStart"/>
      <w:r w:rsidRPr="00F64639">
        <w:t>EUME-t</w:t>
      </w:r>
      <w:proofErr w:type="spellEnd"/>
      <w:r w:rsidRPr="00F64639">
        <w:t>, vagy a hiánypótlást nem teljesítették időben és megfelelő tart</w:t>
      </w:r>
      <w:r w:rsidRPr="00F64639">
        <w:t>a</w:t>
      </w:r>
      <w:r w:rsidRPr="00F64639">
        <w:t>lommal kérelmezők.</w:t>
      </w:r>
    </w:p>
    <w:p w:rsidR="006C6256" w:rsidRPr="00F64639" w:rsidRDefault="00F93580" w:rsidP="006C6256">
      <w:pPr>
        <w:pStyle w:val="HUNNormal"/>
        <w:tabs>
          <w:tab w:val="left" w:pos="709"/>
        </w:tabs>
      </w:pPr>
      <w:r w:rsidRPr="00F64639">
        <w:t xml:space="preserve">A 2007-es évi </w:t>
      </w:r>
      <w:r w:rsidRPr="00F64639">
        <w:rPr>
          <w:b/>
        </w:rPr>
        <w:t>SFH összegek alapján képzett gazdaságméretek megoszlása</w:t>
      </w:r>
      <w:r w:rsidRPr="00F64639">
        <w:t xml:space="preserve"> alapján a következők mondh</w:t>
      </w:r>
      <w:r w:rsidRPr="00F64639">
        <w:t>a</w:t>
      </w:r>
      <w:r w:rsidRPr="00F64639">
        <w:t xml:space="preserve">tók el: a mikro gazdaságok (alsó </w:t>
      </w:r>
      <w:proofErr w:type="spellStart"/>
      <w:r w:rsidRPr="00F64639">
        <w:t>kvartilis</w:t>
      </w:r>
      <w:proofErr w:type="spellEnd"/>
      <w:r w:rsidRPr="00F64639">
        <w:t xml:space="preserve">) 8,5%, a kis gazdaságok és a középgazdaságok (középső </w:t>
      </w:r>
      <w:proofErr w:type="spellStart"/>
      <w:r w:rsidRPr="00F64639">
        <w:t>kvartilisek</w:t>
      </w:r>
      <w:proofErr w:type="spellEnd"/>
      <w:r w:rsidRPr="00F64639">
        <w:t>) rendre 12% és 23,6%, míg a nagygazdaságok 51,8%</w:t>
      </w:r>
      <w:r w:rsidR="002B6127" w:rsidRPr="00F64639">
        <w:t xml:space="preserve">- </w:t>
      </w:r>
      <w:proofErr w:type="spellStart"/>
      <w:r w:rsidR="002B6127" w:rsidRPr="00F64639">
        <w:t>os</w:t>
      </w:r>
      <w:proofErr w:type="spellEnd"/>
      <w:r w:rsidR="002B6127" w:rsidRPr="00F64639">
        <w:t xml:space="preserve"> részaránnyal bírnak a megítélt támog</w:t>
      </w:r>
      <w:r w:rsidR="002B6127" w:rsidRPr="00F64639">
        <w:t>a</w:t>
      </w:r>
      <w:r w:rsidR="002B6127" w:rsidRPr="00F64639">
        <w:t>tások lekötésében.</w:t>
      </w:r>
      <w:r w:rsidR="006C6256" w:rsidRPr="00F64639">
        <w:t xml:space="preserve"> A megítélt támogatási összegek gazdasági méretkategóriák szerinti vizsgálata során megállapítottuk, hogy viszonylag szoros kapcsolat van az ökonómiai méret és a támogatási összegek között, ami azt mutatja, hogy a nagyobb gazdasági aktivitást (és méretet) felmutató gazdaságok nagyobb támogat</w:t>
      </w:r>
      <w:r w:rsidR="006C6256" w:rsidRPr="00F64639">
        <w:t>á</w:t>
      </w:r>
      <w:r w:rsidR="006C6256" w:rsidRPr="00F64639">
        <w:t xml:space="preserve">si igénnyel léptek fel. A támogatott gazdaságok alsó </w:t>
      </w:r>
      <w:proofErr w:type="spellStart"/>
      <w:r w:rsidR="006C6256" w:rsidRPr="00F64639">
        <w:t>kvartilise</w:t>
      </w:r>
      <w:proofErr w:type="spellEnd"/>
      <w:r w:rsidR="006C6256" w:rsidRPr="00F64639">
        <w:t xml:space="preserve"> összesen 6,5 </w:t>
      </w:r>
      <w:proofErr w:type="spellStart"/>
      <w:r w:rsidR="006C6256" w:rsidRPr="00F64639">
        <w:t>mrd</w:t>
      </w:r>
      <w:proofErr w:type="spellEnd"/>
      <w:r w:rsidR="006C6256" w:rsidRPr="00F64639">
        <w:t xml:space="preserve"> Ft-nyi, míg felső </w:t>
      </w:r>
      <w:proofErr w:type="spellStart"/>
      <w:r w:rsidR="006C6256" w:rsidRPr="00F64639">
        <w:t>kvartilise</w:t>
      </w:r>
      <w:proofErr w:type="spellEnd"/>
      <w:r w:rsidR="006C6256" w:rsidRPr="00F64639">
        <w:t xml:space="preserve"> hozzávetőlegesen 40 </w:t>
      </w:r>
      <w:proofErr w:type="spellStart"/>
      <w:r w:rsidR="006C6256" w:rsidRPr="00F64639">
        <w:t>mrd</w:t>
      </w:r>
      <w:proofErr w:type="spellEnd"/>
      <w:r w:rsidR="006C6256" w:rsidRPr="00F64639">
        <w:t xml:space="preserve"> Ft-nyi megítélt támogatási összeget nyert.</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330"/>
        <w:gridCol w:w="1984"/>
        <w:gridCol w:w="1843"/>
        <w:gridCol w:w="2143"/>
      </w:tblGrid>
      <w:tr w:rsidR="000E2F1A" w:rsidRPr="00F64639" w:rsidTr="002F783E">
        <w:trPr>
          <w:tblHeader/>
          <w:jc w:val="center"/>
        </w:trPr>
        <w:tc>
          <w:tcPr>
            <w:tcW w:w="3330"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6C6256" w:rsidRPr="00F64639" w:rsidRDefault="006C6256" w:rsidP="002F783E">
            <w:pPr>
              <w:autoSpaceDE w:val="0"/>
              <w:autoSpaceDN w:val="0"/>
              <w:adjustRightInd w:val="0"/>
              <w:jc w:val="center"/>
              <w:rPr>
                <w:b/>
                <w:bCs/>
                <w:color w:val="FFFFFF"/>
                <w:sz w:val="18"/>
              </w:rPr>
            </w:pPr>
            <w:r w:rsidRPr="00F64639">
              <w:rPr>
                <w:b/>
                <w:bCs/>
                <w:color w:val="FFFFFF"/>
                <w:sz w:val="18"/>
              </w:rPr>
              <w:lastRenderedPageBreak/>
              <w:t>Méret-kategóriák</w:t>
            </w:r>
          </w:p>
        </w:tc>
        <w:tc>
          <w:tcPr>
            <w:tcW w:w="1984"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6C6256" w:rsidRPr="00F64639" w:rsidRDefault="006C6256" w:rsidP="002F783E">
            <w:pPr>
              <w:autoSpaceDE w:val="0"/>
              <w:autoSpaceDN w:val="0"/>
              <w:adjustRightInd w:val="0"/>
              <w:jc w:val="center"/>
              <w:rPr>
                <w:b/>
                <w:bCs/>
                <w:color w:val="FFFFFF"/>
                <w:sz w:val="18"/>
              </w:rPr>
            </w:pPr>
            <w:r w:rsidRPr="00F64639">
              <w:rPr>
                <w:b/>
                <w:bCs/>
                <w:color w:val="FFFFFF"/>
                <w:sz w:val="18"/>
              </w:rPr>
              <w:t>SFH érték összesen (Ft - 2007)</w:t>
            </w:r>
          </w:p>
        </w:tc>
        <w:tc>
          <w:tcPr>
            <w:tcW w:w="1843"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6C6256" w:rsidRPr="00F64639" w:rsidRDefault="006C6256" w:rsidP="002F783E">
            <w:pPr>
              <w:autoSpaceDE w:val="0"/>
              <w:autoSpaceDN w:val="0"/>
              <w:adjustRightInd w:val="0"/>
              <w:jc w:val="center"/>
              <w:rPr>
                <w:b/>
                <w:bCs/>
                <w:color w:val="FFFFFF"/>
                <w:sz w:val="18"/>
              </w:rPr>
            </w:pPr>
            <w:r w:rsidRPr="00F64639">
              <w:rPr>
                <w:b/>
                <w:bCs/>
                <w:color w:val="FFFFFF"/>
                <w:sz w:val="18"/>
              </w:rPr>
              <w:t>Megítélt támogatás összesen (Ft)</w:t>
            </w:r>
          </w:p>
        </w:tc>
        <w:tc>
          <w:tcPr>
            <w:tcW w:w="2143"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6C6256" w:rsidRPr="00F64639" w:rsidRDefault="006C6256" w:rsidP="002F783E">
            <w:pPr>
              <w:autoSpaceDE w:val="0"/>
              <w:autoSpaceDN w:val="0"/>
              <w:adjustRightInd w:val="0"/>
              <w:jc w:val="center"/>
              <w:rPr>
                <w:b/>
                <w:bCs/>
                <w:color w:val="FFFFFF"/>
                <w:sz w:val="18"/>
              </w:rPr>
            </w:pPr>
            <w:r w:rsidRPr="00F64639">
              <w:rPr>
                <w:b/>
                <w:bCs/>
                <w:color w:val="FFFFFF"/>
                <w:sz w:val="18"/>
              </w:rPr>
              <w:t>Átlagos megítélt támog</w:t>
            </w:r>
            <w:r w:rsidRPr="00F64639">
              <w:rPr>
                <w:b/>
                <w:bCs/>
                <w:color w:val="FFFFFF"/>
                <w:sz w:val="18"/>
              </w:rPr>
              <w:t>a</w:t>
            </w:r>
            <w:r w:rsidRPr="00F64639">
              <w:rPr>
                <w:b/>
                <w:bCs/>
                <w:color w:val="FFFFFF"/>
                <w:sz w:val="18"/>
              </w:rPr>
              <w:t>tás (Ft)</w:t>
            </w:r>
          </w:p>
        </w:tc>
      </w:tr>
      <w:tr w:rsidR="000E2F1A" w:rsidRPr="00F64639" w:rsidTr="002F783E">
        <w:trPr>
          <w:jc w:val="center"/>
        </w:trPr>
        <w:tc>
          <w:tcPr>
            <w:tcW w:w="3330" w:type="dxa"/>
            <w:tcBorders>
              <w:top w:val="single" w:sz="8" w:space="0" w:color="FFFFFF"/>
              <w:left w:val="single" w:sz="8" w:space="0" w:color="FFFFFF"/>
              <w:bottom w:val="nil"/>
              <w:right w:val="single" w:sz="24" w:space="0" w:color="FFFFFF"/>
            </w:tcBorders>
            <w:shd w:val="clear" w:color="auto" w:fill="C0504D"/>
            <w:vAlign w:val="center"/>
          </w:tcPr>
          <w:p w:rsidR="006C6256" w:rsidRPr="00F64639" w:rsidRDefault="006C6256" w:rsidP="002F783E">
            <w:pPr>
              <w:jc w:val="center"/>
              <w:rPr>
                <w:b/>
                <w:bCs/>
                <w:color w:val="FFFFFF"/>
              </w:rPr>
            </w:pPr>
            <w:r w:rsidRPr="00F64639">
              <w:rPr>
                <w:bCs/>
                <w:color w:val="FFFFFF"/>
              </w:rPr>
              <w:t>Mikro gazdálkodó (</w:t>
            </w:r>
            <w:r w:rsidRPr="00F64639">
              <w:rPr>
                <w:bCs/>
                <w:i/>
                <w:color w:val="FFFFFF"/>
              </w:rPr>
              <w:t xml:space="preserve">alsó </w:t>
            </w:r>
            <w:proofErr w:type="spellStart"/>
            <w:r w:rsidRPr="00F64639">
              <w:rPr>
                <w:bCs/>
                <w:i/>
                <w:color w:val="FFFFFF"/>
              </w:rPr>
              <w:t>kvartilis</w:t>
            </w:r>
            <w:proofErr w:type="spellEnd"/>
            <w:r w:rsidRPr="00F64639">
              <w:rPr>
                <w:bCs/>
                <w:color w:val="FFFFFF"/>
              </w:rPr>
              <w:t>)</w:t>
            </w:r>
          </w:p>
        </w:tc>
        <w:tc>
          <w:tcPr>
            <w:tcW w:w="1984"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autoSpaceDE w:val="0"/>
              <w:autoSpaceDN w:val="0"/>
              <w:adjustRightInd w:val="0"/>
              <w:jc w:val="center"/>
            </w:pPr>
            <w:r w:rsidRPr="00F64639">
              <w:t>12 062 344 976</w:t>
            </w:r>
          </w:p>
        </w:tc>
        <w:tc>
          <w:tcPr>
            <w:tcW w:w="184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autoSpaceDE w:val="0"/>
              <w:autoSpaceDN w:val="0"/>
              <w:adjustRightInd w:val="0"/>
              <w:jc w:val="center"/>
            </w:pPr>
            <w:r w:rsidRPr="00F64639">
              <w:t>6 527 998 090</w:t>
            </w:r>
          </w:p>
        </w:tc>
        <w:tc>
          <w:tcPr>
            <w:tcW w:w="214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autoSpaceDE w:val="0"/>
              <w:autoSpaceDN w:val="0"/>
              <w:adjustRightInd w:val="0"/>
              <w:jc w:val="center"/>
            </w:pPr>
            <w:r w:rsidRPr="00F64639">
              <w:t>3 005 524</w:t>
            </w:r>
          </w:p>
        </w:tc>
      </w:tr>
      <w:tr w:rsidR="000E2F1A" w:rsidRPr="00F64639" w:rsidTr="002F783E">
        <w:trPr>
          <w:jc w:val="center"/>
        </w:trPr>
        <w:tc>
          <w:tcPr>
            <w:tcW w:w="3330" w:type="dxa"/>
            <w:tcBorders>
              <w:left w:val="single" w:sz="8" w:space="0" w:color="FFFFFF"/>
              <w:bottom w:val="nil"/>
              <w:right w:val="single" w:sz="24" w:space="0" w:color="FFFFFF"/>
            </w:tcBorders>
            <w:shd w:val="clear" w:color="auto" w:fill="C0504D"/>
            <w:vAlign w:val="center"/>
          </w:tcPr>
          <w:p w:rsidR="006C6256" w:rsidRPr="00F64639" w:rsidRDefault="006C6256" w:rsidP="002F783E">
            <w:pPr>
              <w:jc w:val="center"/>
              <w:rPr>
                <w:b/>
                <w:bCs/>
                <w:color w:val="FFFFFF"/>
              </w:rPr>
            </w:pPr>
            <w:r w:rsidRPr="00F64639">
              <w:rPr>
                <w:bCs/>
                <w:color w:val="FFFFFF"/>
              </w:rPr>
              <w:t>Kis gazdálkodó (</w:t>
            </w:r>
            <w:r w:rsidRPr="00F64639">
              <w:rPr>
                <w:bCs/>
                <w:i/>
                <w:color w:val="FFFFFF"/>
              </w:rPr>
              <w:t xml:space="preserve">középső </w:t>
            </w:r>
            <w:proofErr w:type="spellStart"/>
            <w:r w:rsidRPr="00F64639">
              <w:rPr>
                <w:bCs/>
                <w:i/>
                <w:color w:val="FFFFFF"/>
              </w:rPr>
              <w:t>kvartilis</w:t>
            </w:r>
            <w:proofErr w:type="spellEnd"/>
            <w:r w:rsidRPr="00F64639">
              <w:rPr>
                <w:bCs/>
                <w:color w:val="FFFFFF"/>
              </w:rPr>
              <w:t>)</w:t>
            </w:r>
          </w:p>
        </w:tc>
        <w:tc>
          <w:tcPr>
            <w:tcW w:w="1984" w:type="dxa"/>
            <w:shd w:val="clear" w:color="auto" w:fill="EFD3D2"/>
            <w:vAlign w:val="center"/>
          </w:tcPr>
          <w:p w:rsidR="006C6256" w:rsidRPr="00F64639" w:rsidRDefault="006C6256" w:rsidP="002F783E">
            <w:pPr>
              <w:autoSpaceDE w:val="0"/>
              <w:autoSpaceDN w:val="0"/>
              <w:adjustRightInd w:val="0"/>
              <w:jc w:val="center"/>
            </w:pPr>
            <w:r w:rsidRPr="00F64639">
              <w:t>33 367 650 688</w:t>
            </w:r>
          </w:p>
        </w:tc>
        <w:tc>
          <w:tcPr>
            <w:tcW w:w="1843" w:type="dxa"/>
            <w:shd w:val="clear" w:color="auto" w:fill="EFD3D2"/>
            <w:vAlign w:val="center"/>
          </w:tcPr>
          <w:p w:rsidR="006C6256" w:rsidRPr="00F64639" w:rsidRDefault="006C6256" w:rsidP="002F783E">
            <w:pPr>
              <w:autoSpaceDE w:val="0"/>
              <w:autoSpaceDN w:val="0"/>
              <w:adjustRightInd w:val="0"/>
              <w:jc w:val="center"/>
            </w:pPr>
            <w:r w:rsidRPr="00F64639">
              <w:t>9 214 243 114</w:t>
            </w:r>
          </w:p>
        </w:tc>
        <w:tc>
          <w:tcPr>
            <w:tcW w:w="2143" w:type="dxa"/>
            <w:shd w:val="clear" w:color="auto" w:fill="EFD3D2"/>
            <w:vAlign w:val="center"/>
          </w:tcPr>
          <w:p w:rsidR="006C6256" w:rsidRPr="00F64639" w:rsidRDefault="006C6256" w:rsidP="002F783E">
            <w:pPr>
              <w:autoSpaceDE w:val="0"/>
              <w:autoSpaceDN w:val="0"/>
              <w:adjustRightInd w:val="0"/>
              <w:jc w:val="center"/>
            </w:pPr>
            <w:r w:rsidRPr="00F64639">
              <w:t>4 263 879</w:t>
            </w:r>
          </w:p>
        </w:tc>
      </w:tr>
      <w:tr w:rsidR="000E2F1A" w:rsidRPr="00F64639" w:rsidTr="002F783E">
        <w:trPr>
          <w:jc w:val="center"/>
        </w:trPr>
        <w:tc>
          <w:tcPr>
            <w:tcW w:w="3330" w:type="dxa"/>
            <w:tcBorders>
              <w:top w:val="single" w:sz="8" w:space="0" w:color="FFFFFF"/>
              <w:left w:val="single" w:sz="8" w:space="0" w:color="FFFFFF"/>
              <w:bottom w:val="nil"/>
              <w:right w:val="single" w:sz="24" w:space="0" w:color="FFFFFF"/>
            </w:tcBorders>
            <w:shd w:val="clear" w:color="auto" w:fill="C0504D"/>
            <w:vAlign w:val="center"/>
          </w:tcPr>
          <w:p w:rsidR="006C6256" w:rsidRPr="00F64639" w:rsidRDefault="006C6256" w:rsidP="002F783E">
            <w:pPr>
              <w:jc w:val="center"/>
              <w:rPr>
                <w:b/>
                <w:bCs/>
                <w:color w:val="FFFFFF"/>
              </w:rPr>
            </w:pPr>
            <w:r w:rsidRPr="00F64639">
              <w:rPr>
                <w:bCs/>
                <w:color w:val="FFFFFF"/>
              </w:rPr>
              <w:t>Középgazdálkodó (</w:t>
            </w:r>
            <w:r w:rsidRPr="00F64639">
              <w:rPr>
                <w:bCs/>
                <w:i/>
                <w:color w:val="FFFFFF"/>
              </w:rPr>
              <w:t xml:space="preserve">középső </w:t>
            </w:r>
            <w:proofErr w:type="spellStart"/>
            <w:r w:rsidRPr="00F64639">
              <w:rPr>
                <w:bCs/>
                <w:i/>
                <w:color w:val="FFFFFF"/>
              </w:rPr>
              <w:t>kvartilis</w:t>
            </w:r>
            <w:proofErr w:type="spellEnd"/>
            <w:r w:rsidRPr="00F64639">
              <w:rPr>
                <w:bCs/>
                <w:color w:val="FFFFFF"/>
              </w:rPr>
              <w:t>)</w:t>
            </w:r>
          </w:p>
        </w:tc>
        <w:tc>
          <w:tcPr>
            <w:tcW w:w="1984"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autoSpaceDE w:val="0"/>
              <w:autoSpaceDN w:val="0"/>
              <w:adjustRightInd w:val="0"/>
              <w:jc w:val="center"/>
            </w:pPr>
            <w:r w:rsidRPr="00F64639">
              <w:t>73 689 325 696</w:t>
            </w:r>
          </w:p>
        </w:tc>
        <w:tc>
          <w:tcPr>
            <w:tcW w:w="184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autoSpaceDE w:val="0"/>
              <w:autoSpaceDN w:val="0"/>
              <w:adjustRightInd w:val="0"/>
              <w:jc w:val="center"/>
            </w:pPr>
            <w:r w:rsidRPr="00F64639">
              <w:t>18 078 528 002</w:t>
            </w:r>
          </w:p>
        </w:tc>
        <w:tc>
          <w:tcPr>
            <w:tcW w:w="214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autoSpaceDE w:val="0"/>
              <w:autoSpaceDN w:val="0"/>
              <w:adjustRightInd w:val="0"/>
              <w:jc w:val="center"/>
            </w:pPr>
            <w:r w:rsidRPr="00F64639">
              <w:t>8 365 816</w:t>
            </w:r>
          </w:p>
        </w:tc>
      </w:tr>
      <w:tr w:rsidR="000E2F1A" w:rsidRPr="00F64639" w:rsidTr="002F783E">
        <w:trPr>
          <w:jc w:val="center"/>
        </w:trPr>
        <w:tc>
          <w:tcPr>
            <w:tcW w:w="3330" w:type="dxa"/>
            <w:tcBorders>
              <w:left w:val="single" w:sz="8" w:space="0" w:color="FFFFFF"/>
              <w:bottom w:val="nil"/>
              <w:right w:val="single" w:sz="24" w:space="0" w:color="FFFFFF"/>
            </w:tcBorders>
            <w:shd w:val="clear" w:color="auto" w:fill="C0504D"/>
            <w:vAlign w:val="center"/>
          </w:tcPr>
          <w:p w:rsidR="006C6256" w:rsidRPr="00F64639" w:rsidRDefault="006C6256" w:rsidP="002F783E">
            <w:pPr>
              <w:jc w:val="center"/>
              <w:rPr>
                <w:b/>
                <w:bCs/>
                <w:color w:val="FFFFFF"/>
              </w:rPr>
            </w:pPr>
            <w:r w:rsidRPr="00F64639">
              <w:rPr>
                <w:bCs/>
                <w:color w:val="FFFFFF"/>
              </w:rPr>
              <w:t>Nagy gazdálkodó (</w:t>
            </w:r>
            <w:r w:rsidRPr="00F64639">
              <w:rPr>
                <w:bCs/>
                <w:i/>
                <w:color w:val="FFFFFF"/>
              </w:rPr>
              <w:t xml:space="preserve">felső </w:t>
            </w:r>
            <w:proofErr w:type="spellStart"/>
            <w:r w:rsidRPr="00F64639">
              <w:rPr>
                <w:bCs/>
                <w:i/>
                <w:color w:val="FFFFFF"/>
              </w:rPr>
              <w:t>kvartilis</w:t>
            </w:r>
            <w:proofErr w:type="spellEnd"/>
            <w:r w:rsidRPr="00F64639">
              <w:rPr>
                <w:bCs/>
                <w:color w:val="FFFFFF"/>
              </w:rPr>
              <w:t>)</w:t>
            </w:r>
          </w:p>
        </w:tc>
        <w:tc>
          <w:tcPr>
            <w:tcW w:w="1984" w:type="dxa"/>
            <w:shd w:val="clear" w:color="auto" w:fill="EFD3D2"/>
            <w:vAlign w:val="center"/>
          </w:tcPr>
          <w:p w:rsidR="006C6256" w:rsidRPr="00F64639" w:rsidRDefault="006C6256" w:rsidP="002F783E">
            <w:pPr>
              <w:autoSpaceDE w:val="0"/>
              <w:autoSpaceDN w:val="0"/>
              <w:adjustRightInd w:val="0"/>
              <w:jc w:val="center"/>
            </w:pPr>
            <w:r w:rsidRPr="00F64639">
              <w:t>526 228 780 167</w:t>
            </w:r>
          </w:p>
        </w:tc>
        <w:tc>
          <w:tcPr>
            <w:tcW w:w="1843" w:type="dxa"/>
            <w:shd w:val="clear" w:color="auto" w:fill="EFD3D2"/>
            <w:vAlign w:val="center"/>
          </w:tcPr>
          <w:p w:rsidR="006C6256" w:rsidRPr="00F64639" w:rsidRDefault="006C6256" w:rsidP="002F783E">
            <w:pPr>
              <w:keepNext/>
              <w:autoSpaceDE w:val="0"/>
              <w:autoSpaceDN w:val="0"/>
              <w:adjustRightInd w:val="0"/>
              <w:jc w:val="center"/>
            </w:pPr>
            <w:r w:rsidRPr="00F64639">
              <w:t>39 730 768 272</w:t>
            </w:r>
          </w:p>
        </w:tc>
        <w:tc>
          <w:tcPr>
            <w:tcW w:w="2143" w:type="dxa"/>
            <w:shd w:val="clear" w:color="auto" w:fill="EFD3D2"/>
            <w:vAlign w:val="center"/>
          </w:tcPr>
          <w:p w:rsidR="006C6256" w:rsidRPr="00F64639" w:rsidRDefault="006C6256" w:rsidP="002F783E">
            <w:pPr>
              <w:autoSpaceDE w:val="0"/>
              <w:autoSpaceDN w:val="0"/>
              <w:adjustRightInd w:val="0"/>
              <w:jc w:val="center"/>
            </w:pPr>
            <w:r w:rsidRPr="00F64639">
              <w:t>18 393 874</w:t>
            </w:r>
          </w:p>
        </w:tc>
      </w:tr>
      <w:tr w:rsidR="000E2F1A" w:rsidRPr="00F64639" w:rsidTr="002F783E">
        <w:trPr>
          <w:jc w:val="center"/>
        </w:trPr>
        <w:tc>
          <w:tcPr>
            <w:tcW w:w="3330" w:type="dxa"/>
            <w:tcBorders>
              <w:top w:val="single" w:sz="8" w:space="0" w:color="FFFFFF"/>
              <w:left w:val="single" w:sz="8" w:space="0" w:color="FFFFFF"/>
              <w:bottom w:val="single" w:sz="8" w:space="0" w:color="FFFFFF"/>
              <w:right w:val="single" w:sz="24" w:space="0" w:color="FFFFFF"/>
            </w:tcBorders>
            <w:shd w:val="clear" w:color="auto" w:fill="C0504D"/>
            <w:vAlign w:val="bottom"/>
          </w:tcPr>
          <w:p w:rsidR="006C6256" w:rsidRPr="00F64639" w:rsidRDefault="006C6256" w:rsidP="002F783E">
            <w:pPr>
              <w:keepNext/>
              <w:jc w:val="center"/>
              <w:rPr>
                <w:b/>
                <w:bCs/>
                <w:color w:val="FFFFFF"/>
              </w:rPr>
            </w:pPr>
            <w:r w:rsidRPr="00F64639">
              <w:rPr>
                <w:bCs/>
                <w:color w:val="FFFFFF"/>
              </w:rPr>
              <w:t>Nincs benne a vizsgálatban</w:t>
            </w:r>
            <w:r w:rsidR="00B031E3" w:rsidRPr="00F64639">
              <w:rPr>
                <w:bCs/>
                <w:color w:val="FFFFFF"/>
              </w:rPr>
              <w:t xml:space="preserve"> (nincs SFH adat)</w:t>
            </w:r>
          </w:p>
        </w:tc>
        <w:tc>
          <w:tcPr>
            <w:tcW w:w="1984"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keepNext/>
              <w:autoSpaceDE w:val="0"/>
              <w:autoSpaceDN w:val="0"/>
              <w:adjustRightInd w:val="0"/>
              <w:jc w:val="center"/>
            </w:pPr>
            <w:r w:rsidRPr="00F64639">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keepNext/>
              <w:autoSpaceDE w:val="0"/>
              <w:autoSpaceDN w:val="0"/>
              <w:adjustRightInd w:val="0"/>
              <w:jc w:val="center"/>
            </w:pPr>
            <w:r w:rsidRPr="00F64639">
              <w:t>3 214 810 169</w:t>
            </w:r>
          </w:p>
        </w:tc>
        <w:tc>
          <w:tcPr>
            <w:tcW w:w="214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6C6256" w:rsidRPr="00F64639" w:rsidRDefault="006C6256" w:rsidP="002F783E">
            <w:pPr>
              <w:keepNext/>
              <w:autoSpaceDE w:val="0"/>
              <w:autoSpaceDN w:val="0"/>
              <w:adjustRightInd w:val="0"/>
              <w:jc w:val="center"/>
            </w:pPr>
            <w:r w:rsidRPr="00F64639">
              <w:t>6 883 962</w:t>
            </w:r>
          </w:p>
        </w:tc>
      </w:tr>
    </w:tbl>
    <w:p w:rsidR="00B031E3" w:rsidRPr="00F64639" w:rsidRDefault="00075A29" w:rsidP="00B031E3">
      <w:pPr>
        <w:pStyle w:val="Caption"/>
        <w:keepNext/>
        <w:spacing w:before="60" w:after="120" w:line="280" w:lineRule="atLeast"/>
        <w:jc w:val="center"/>
        <w:rPr>
          <w:color w:val="auto"/>
        </w:rPr>
      </w:pPr>
      <w:r w:rsidRPr="00F64639">
        <w:rPr>
          <w:color w:val="auto"/>
        </w:rPr>
        <w:fldChar w:fldCharType="begin"/>
      </w:r>
      <w:r w:rsidR="00B031E3" w:rsidRPr="00F64639">
        <w:rPr>
          <w:color w:val="auto"/>
        </w:rPr>
        <w:instrText xml:space="preserve"> SEQ táblázat \* ARABIC </w:instrText>
      </w:r>
      <w:r w:rsidRPr="00F64639">
        <w:rPr>
          <w:color w:val="auto"/>
        </w:rPr>
        <w:fldChar w:fldCharType="separate"/>
      </w:r>
      <w:r w:rsidR="00E30745" w:rsidRPr="00F64639">
        <w:rPr>
          <w:noProof/>
          <w:color w:val="auto"/>
        </w:rPr>
        <w:t>13</w:t>
      </w:r>
      <w:r w:rsidRPr="00F64639">
        <w:rPr>
          <w:color w:val="auto"/>
        </w:rPr>
        <w:fldChar w:fldCharType="end"/>
      </w:r>
      <w:r w:rsidR="00B031E3" w:rsidRPr="00F64639">
        <w:rPr>
          <w:color w:val="auto"/>
        </w:rPr>
        <w:t>. táblázat: SFH méretkategóriák jellemzői - gépbeszerzés</w:t>
      </w:r>
    </w:p>
    <w:p w:rsidR="00EA7709" w:rsidRPr="00F64639" w:rsidRDefault="00EA7709" w:rsidP="00EA7709">
      <w:pPr>
        <w:pStyle w:val="HUNNormal"/>
        <w:tabs>
          <w:tab w:val="left" w:pos="709"/>
        </w:tabs>
      </w:pPr>
      <w:r w:rsidRPr="00F64639">
        <w:t>A 76,8 milliárd forint kötelezettség vállalás elméletben mintegy 270 milliárd forintos beruházás megvalós</w:t>
      </w:r>
      <w:r w:rsidRPr="00F64639">
        <w:t>í</w:t>
      </w:r>
      <w:r w:rsidRPr="00F64639">
        <w:t>tását tette lehetővé.</w:t>
      </w:r>
    </w:p>
    <w:p w:rsidR="00C53354" w:rsidRPr="00F64639" w:rsidRDefault="00044E7F" w:rsidP="00C53354">
      <w:pPr>
        <w:pStyle w:val="HUNNormal"/>
        <w:tabs>
          <w:tab w:val="left" w:pos="709"/>
        </w:tabs>
      </w:pPr>
      <w:r w:rsidRPr="00F64639">
        <w:t xml:space="preserve">A legjellemzőbb SFH tételek vizsgálata során megállapítottuk, hogy </w:t>
      </w:r>
      <w:r w:rsidR="00B978FD" w:rsidRPr="00F64639">
        <w:t>kiemelkedően reprezentáltak a szánt</w:t>
      </w:r>
      <w:r w:rsidR="00B978FD" w:rsidRPr="00F64639">
        <w:t>ó</w:t>
      </w:r>
      <w:r w:rsidR="00B978FD" w:rsidRPr="00F64639">
        <w:t>földi növénytermesztéssel foglalkozó gazdaságok. A magasabb hozzáadot</w:t>
      </w:r>
      <w:r w:rsidR="00D10C76" w:rsidRPr="00F64639">
        <w:t>t értékű ágazatok (pl.: zöldség</w:t>
      </w:r>
      <w:r w:rsidR="00B978FD" w:rsidRPr="00F64639">
        <w:t>), valamint az extenzív technológiákat alkalmazó gaz</w:t>
      </w:r>
      <w:r w:rsidR="00A759F0" w:rsidRPr="00F64639">
        <w:t>daságok részesedése vi</w:t>
      </w:r>
      <w:r w:rsidR="00B978FD" w:rsidRPr="00F64639">
        <w:t>s</w:t>
      </w:r>
      <w:r w:rsidR="00A759F0" w:rsidRPr="00F64639">
        <w:t>z</w:t>
      </w:r>
      <w:r w:rsidR="00B978FD" w:rsidRPr="00F64639">
        <w:t>onylag alacsony.</w:t>
      </w:r>
    </w:p>
    <w:tbl>
      <w:tblPr>
        <w:tblW w:w="9247" w:type="dxa"/>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4503"/>
        <w:gridCol w:w="2835"/>
        <w:gridCol w:w="1909"/>
      </w:tblGrid>
      <w:tr w:rsidR="000E2F1A" w:rsidRPr="00F64639" w:rsidTr="002F783E">
        <w:trPr>
          <w:trHeight w:val="780"/>
        </w:trPr>
        <w:tc>
          <w:tcPr>
            <w:tcW w:w="4503" w:type="dxa"/>
            <w:tcBorders>
              <w:top w:val="single" w:sz="8" w:space="0" w:color="CF7B79"/>
              <w:left w:val="single" w:sz="8" w:space="0" w:color="CF7B79"/>
              <w:bottom w:val="single" w:sz="8" w:space="0" w:color="CF7B79"/>
              <w:right w:val="nil"/>
            </w:tcBorders>
            <w:shd w:val="clear" w:color="auto" w:fill="C0504D"/>
            <w:noWrap/>
            <w:vAlign w:val="center"/>
            <w:hideMark/>
          </w:tcPr>
          <w:p w:rsidR="00C53354" w:rsidRPr="00F64639" w:rsidRDefault="00C53354" w:rsidP="002F783E">
            <w:pPr>
              <w:spacing w:before="0" w:after="0" w:line="240" w:lineRule="auto"/>
              <w:jc w:val="center"/>
              <w:rPr>
                <w:rFonts w:cs="Calibri"/>
                <w:b/>
                <w:bCs/>
                <w:color w:val="FFFFFF"/>
                <w:sz w:val="18"/>
                <w:szCs w:val="18"/>
              </w:rPr>
            </w:pPr>
            <w:r w:rsidRPr="00F64639">
              <w:rPr>
                <w:rFonts w:cs="Calibri"/>
                <w:b/>
                <w:bCs/>
                <w:color w:val="FFFFFF"/>
                <w:sz w:val="18"/>
                <w:szCs w:val="18"/>
              </w:rPr>
              <w:t>Legjellemzőbb SFH 2007 megnevezés</w:t>
            </w:r>
          </w:p>
        </w:tc>
        <w:tc>
          <w:tcPr>
            <w:tcW w:w="2835" w:type="dxa"/>
            <w:tcBorders>
              <w:top w:val="single" w:sz="8" w:space="0" w:color="CF7B79"/>
              <w:left w:val="nil"/>
              <w:bottom w:val="single" w:sz="8" w:space="0" w:color="CF7B79"/>
              <w:right w:val="nil"/>
            </w:tcBorders>
            <w:shd w:val="clear" w:color="auto" w:fill="C0504D"/>
            <w:vAlign w:val="center"/>
            <w:hideMark/>
          </w:tcPr>
          <w:p w:rsidR="00C53354" w:rsidRPr="00F64639" w:rsidRDefault="00C53354" w:rsidP="002F783E">
            <w:pPr>
              <w:spacing w:before="0" w:after="0" w:line="240" w:lineRule="auto"/>
              <w:jc w:val="center"/>
              <w:rPr>
                <w:rFonts w:cs="Calibri"/>
                <w:b/>
                <w:bCs/>
                <w:color w:val="FFFFFF"/>
                <w:sz w:val="18"/>
                <w:szCs w:val="18"/>
              </w:rPr>
            </w:pPr>
            <w:r w:rsidRPr="00F64639">
              <w:rPr>
                <w:rFonts w:cs="Calibri"/>
                <w:b/>
                <w:bCs/>
                <w:color w:val="FFFFFF"/>
                <w:sz w:val="18"/>
                <w:szCs w:val="18"/>
              </w:rPr>
              <w:t>Támogatottak száma, akikre ez az SFH kategória a legjellemzőbb</w:t>
            </w:r>
            <w:r w:rsidR="001B47B2" w:rsidRPr="00F64639">
              <w:rPr>
                <w:rFonts w:cs="Calibri"/>
                <w:b/>
                <w:bCs/>
                <w:color w:val="FFFFFF"/>
                <w:sz w:val="18"/>
                <w:szCs w:val="18"/>
              </w:rPr>
              <w:t xml:space="preserve"> (db)</w:t>
            </w:r>
          </w:p>
        </w:tc>
        <w:tc>
          <w:tcPr>
            <w:tcW w:w="1909" w:type="dxa"/>
            <w:tcBorders>
              <w:top w:val="single" w:sz="8" w:space="0" w:color="CF7B79"/>
              <w:left w:val="nil"/>
              <w:bottom w:val="single" w:sz="8" w:space="0" w:color="CF7B79"/>
              <w:right w:val="single" w:sz="8" w:space="0" w:color="CF7B79"/>
            </w:tcBorders>
            <w:shd w:val="clear" w:color="auto" w:fill="C0504D"/>
            <w:vAlign w:val="center"/>
            <w:hideMark/>
          </w:tcPr>
          <w:p w:rsidR="00C53354" w:rsidRPr="00F64639" w:rsidRDefault="00C53354" w:rsidP="002F783E">
            <w:pPr>
              <w:spacing w:before="0" w:after="0" w:line="240" w:lineRule="auto"/>
              <w:jc w:val="center"/>
              <w:rPr>
                <w:rFonts w:cs="Calibri"/>
                <w:b/>
                <w:bCs/>
                <w:color w:val="FFFFFF"/>
                <w:sz w:val="18"/>
                <w:szCs w:val="18"/>
              </w:rPr>
            </w:pPr>
            <w:r w:rsidRPr="00F64639">
              <w:rPr>
                <w:rFonts w:cs="Calibri"/>
                <w:b/>
                <w:bCs/>
                <w:color w:val="FFFFFF"/>
                <w:sz w:val="18"/>
                <w:szCs w:val="18"/>
              </w:rPr>
              <w:t>SFH összeg</w:t>
            </w:r>
          </w:p>
        </w:tc>
      </w:tr>
      <w:tr w:rsidR="000E2F1A" w:rsidRPr="00F64639" w:rsidTr="002F783E">
        <w:trPr>
          <w:trHeight w:val="315"/>
        </w:trPr>
        <w:tc>
          <w:tcPr>
            <w:tcW w:w="4503" w:type="dxa"/>
            <w:tcBorders>
              <w:right w:val="nil"/>
            </w:tcBorders>
            <w:shd w:val="clear" w:color="auto" w:fill="EFD3D2"/>
            <w:noWrap/>
            <w:vAlign w:val="center"/>
            <w:hideMark/>
          </w:tcPr>
          <w:p w:rsidR="001B47B2" w:rsidRPr="00F64639" w:rsidRDefault="001B47B2" w:rsidP="002F783E">
            <w:pPr>
              <w:spacing w:after="60" w:line="240" w:lineRule="auto"/>
              <w:rPr>
                <w:rFonts w:cs="Arial"/>
                <w:b/>
                <w:bCs/>
                <w:color w:val="000000"/>
                <w:sz w:val="18"/>
                <w:szCs w:val="18"/>
              </w:rPr>
            </w:pPr>
            <w:proofErr w:type="spellStart"/>
            <w:r w:rsidRPr="00F64639">
              <w:rPr>
                <w:rFonts w:cs="Arial"/>
                <w:bCs/>
                <w:color w:val="000000"/>
                <w:sz w:val="18"/>
                <w:szCs w:val="18"/>
              </w:rPr>
              <w:t>Szemeskukorica</w:t>
            </w:r>
            <w:proofErr w:type="spellEnd"/>
          </w:p>
        </w:tc>
        <w:tc>
          <w:tcPr>
            <w:tcW w:w="2835" w:type="dxa"/>
            <w:tcBorders>
              <w:left w:val="nil"/>
              <w:righ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3317</w:t>
            </w:r>
          </w:p>
        </w:tc>
        <w:tc>
          <w:tcPr>
            <w:tcW w:w="1909" w:type="dxa"/>
            <w:tcBorders>
              <w:lef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85 466 240 756 Ft</w:t>
            </w:r>
          </w:p>
        </w:tc>
      </w:tr>
      <w:tr w:rsidR="000E2F1A" w:rsidRPr="00F64639" w:rsidTr="002F783E">
        <w:trPr>
          <w:trHeight w:val="315"/>
        </w:trPr>
        <w:tc>
          <w:tcPr>
            <w:tcW w:w="4503" w:type="dxa"/>
            <w:tcBorders>
              <w:right w:val="nil"/>
            </w:tcBorders>
            <w:noWrap/>
            <w:vAlign w:val="center"/>
            <w:hideMark/>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Közönséges búza és tönköly</w:t>
            </w:r>
          </w:p>
        </w:tc>
        <w:tc>
          <w:tcPr>
            <w:tcW w:w="2835" w:type="dxa"/>
            <w:tcBorders>
              <w:left w:val="nil"/>
              <w:right w:val="nil"/>
            </w:tcBorders>
            <w:noWrap/>
            <w:vAlign w:val="center"/>
            <w:hideMark/>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1542</w:t>
            </w:r>
          </w:p>
        </w:tc>
        <w:tc>
          <w:tcPr>
            <w:tcW w:w="1909" w:type="dxa"/>
            <w:tcBorders>
              <w:left w:val="nil"/>
            </w:tcBorders>
            <w:noWrap/>
            <w:vAlign w:val="center"/>
            <w:hideMark/>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38 308 302 003 Ft</w:t>
            </w:r>
          </w:p>
        </w:tc>
      </w:tr>
      <w:tr w:rsidR="000E2F1A" w:rsidRPr="00F64639" w:rsidTr="002F783E">
        <w:trPr>
          <w:trHeight w:val="315"/>
        </w:trPr>
        <w:tc>
          <w:tcPr>
            <w:tcW w:w="4503" w:type="dxa"/>
            <w:tcBorders>
              <w:right w:val="nil"/>
            </w:tcBorders>
            <w:shd w:val="clear" w:color="auto" w:fill="EFD3D2"/>
            <w:noWrap/>
            <w:vAlign w:val="center"/>
            <w:hideMark/>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Kétéves és idősebb szarvasmarha, tejhasznú tehén</w:t>
            </w:r>
          </w:p>
        </w:tc>
        <w:tc>
          <w:tcPr>
            <w:tcW w:w="2835" w:type="dxa"/>
            <w:tcBorders>
              <w:left w:val="nil"/>
              <w:righ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560</w:t>
            </w:r>
          </w:p>
        </w:tc>
        <w:tc>
          <w:tcPr>
            <w:tcW w:w="1909" w:type="dxa"/>
            <w:tcBorders>
              <w:lef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57 282 166 744 Ft</w:t>
            </w:r>
          </w:p>
        </w:tc>
      </w:tr>
      <w:tr w:rsidR="000E2F1A" w:rsidRPr="00F64639" w:rsidTr="002F783E">
        <w:trPr>
          <w:trHeight w:val="315"/>
        </w:trPr>
        <w:tc>
          <w:tcPr>
            <w:tcW w:w="4503" w:type="dxa"/>
            <w:tcBorders>
              <w:right w:val="nil"/>
            </w:tcBorders>
            <w:noWrap/>
            <w:vAlign w:val="center"/>
            <w:hideMark/>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Napraforgó</w:t>
            </w:r>
          </w:p>
        </w:tc>
        <w:tc>
          <w:tcPr>
            <w:tcW w:w="2835" w:type="dxa"/>
            <w:tcBorders>
              <w:left w:val="nil"/>
              <w:right w:val="nil"/>
            </w:tcBorders>
            <w:noWrap/>
            <w:vAlign w:val="center"/>
            <w:hideMark/>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384</w:t>
            </w:r>
          </w:p>
        </w:tc>
        <w:tc>
          <w:tcPr>
            <w:tcW w:w="1909" w:type="dxa"/>
            <w:tcBorders>
              <w:left w:val="nil"/>
            </w:tcBorders>
            <w:noWrap/>
            <w:vAlign w:val="center"/>
            <w:hideMark/>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3 942 016 543 Ft</w:t>
            </w:r>
          </w:p>
        </w:tc>
      </w:tr>
      <w:tr w:rsidR="000E2F1A" w:rsidRPr="00F64639" w:rsidTr="002F783E">
        <w:trPr>
          <w:trHeight w:val="315"/>
        </w:trPr>
        <w:tc>
          <w:tcPr>
            <w:tcW w:w="4503" w:type="dxa"/>
            <w:tcBorders>
              <w:right w:val="nil"/>
            </w:tcBorders>
            <w:shd w:val="clear" w:color="auto" w:fill="EFD3D2"/>
            <w:noWrap/>
            <w:vAlign w:val="center"/>
            <w:hideMark/>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Gyümölcsültetvények, mérsékelt égövi friss</w:t>
            </w:r>
          </w:p>
        </w:tc>
        <w:tc>
          <w:tcPr>
            <w:tcW w:w="2835" w:type="dxa"/>
            <w:tcBorders>
              <w:left w:val="nil"/>
              <w:righ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357</w:t>
            </w:r>
          </w:p>
        </w:tc>
        <w:tc>
          <w:tcPr>
            <w:tcW w:w="1909" w:type="dxa"/>
            <w:tcBorders>
              <w:lef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7 318 748 645 Ft</w:t>
            </w:r>
          </w:p>
        </w:tc>
      </w:tr>
      <w:tr w:rsidR="000E2F1A" w:rsidRPr="00F64639" w:rsidTr="002F783E">
        <w:trPr>
          <w:trHeight w:val="315"/>
        </w:trPr>
        <w:tc>
          <w:tcPr>
            <w:tcW w:w="4503" w:type="dxa"/>
            <w:tcBorders>
              <w:right w:val="nil"/>
            </w:tcBorders>
            <w:noWrap/>
            <w:vAlign w:val="center"/>
            <w:hideMark/>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Minőségi borszőlő ültetvények</w:t>
            </w:r>
          </w:p>
        </w:tc>
        <w:tc>
          <w:tcPr>
            <w:tcW w:w="2835" w:type="dxa"/>
            <w:tcBorders>
              <w:left w:val="nil"/>
              <w:right w:val="nil"/>
            </w:tcBorders>
            <w:noWrap/>
            <w:vAlign w:val="center"/>
            <w:hideMark/>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275</w:t>
            </w:r>
          </w:p>
        </w:tc>
        <w:tc>
          <w:tcPr>
            <w:tcW w:w="1909" w:type="dxa"/>
            <w:tcBorders>
              <w:left w:val="nil"/>
            </w:tcBorders>
            <w:noWrap/>
            <w:vAlign w:val="center"/>
            <w:hideMark/>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3 244 242 763 Ft</w:t>
            </w:r>
          </w:p>
        </w:tc>
      </w:tr>
      <w:tr w:rsidR="000E2F1A" w:rsidRPr="00F64639" w:rsidTr="002F783E">
        <w:trPr>
          <w:trHeight w:val="315"/>
        </w:trPr>
        <w:tc>
          <w:tcPr>
            <w:tcW w:w="4503" w:type="dxa"/>
            <w:tcBorders>
              <w:right w:val="nil"/>
            </w:tcBorders>
            <w:shd w:val="clear" w:color="auto" w:fill="EFD3D2"/>
            <w:noWrap/>
            <w:vAlign w:val="center"/>
            <w:hideMark/>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Külterjes (extenzív) gyep (rét és legelő)</w:t>
            </w:r>
          </w:p>
        </w:tc>
        <w:tc>
          <w:tcPr>
            <w:tcW w:w="2835" w:type="dxa"/>
            <w:tcBorders>
              <w:left w:val="nil"/>
              <w:righ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249</w:t>
            </w:r>
          </w:p>
        </w:tc>
        <w:tc>
          <w:tcPr>
            <w:tcW w:w="1909" w:type="dxa"/>
            <w:tcBorders>
              <w:left w:val="nil"/>
            </w:tcBorders>
            <w:shd w:val="clear" w:color="auto" w:fill="EFD3D2"/>
            <w:noWrap/>
            <w:vAlign w:val="center"/>
            <w:hideMark/>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4 189 444 809 Ft</w:t>
            </w:r>
          </w:p>
        </w:tc>
      </w:tr>
      <w:tr w:rsidR="000E2F1A" w:rsidRPr="00F64639" w:rsidTr="002F783E">
        <w:trPr>
          <w:trHeight w:val="315"/>
        </w:trPr>
        <w:tc>
          <w:tcPr>
            <w:tcW w:w="4503" w:type="dxa"/>
            <w:tcBorders>
              <w:right w:val="nil"/>
            </w:tcBorders>
            <w:noWrap/>
            <w:vAlign w:val="center"/>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Friss zöldségfélék, dinnye, szamóca - szabadföldi és alacsony takarás alatt, szántóföldi vetésforgóban</w:t>
            </w:r>
          </w:p>
        </w:tc>
        <w:tc>
          <w:tcPr>
            <w:tcW w:w="2835" w:type="dxa"/>
            <w:tcBorders>
              <w:left w:val="nil"/>
              <w:right w:val="nil"/>
            </w:tcBorders>
            <w:noWrap/>
            <w:vAlign w:val="center"/>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164</w:t>
            </w:r>
          </w:p>
        </w:tc>
        <w:tc>
          <w:tcPr>
            <w:tcW w:w="1909" w:type="dxa"/>
            <w:tcBorders>
              <w:left w:val="nil"/>
            </w:tcBorders>
            <w:noWrap/>
            <w:vAlign w:val="center"/>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9 384 083 201 Ft</w:t>
            </w:r>
          </w:p>
        </w:tc>
      </w:tr>
      <w:tr w:rsidR="000E2F1A" w:rsidRPr="00F64639" w:rsidTr="002F783E">
        <w:trPr>
          <w:trHeight w:val="315"/>
        </w:trPr>
        <w:tc>
          <w:tcPr>
            <w:tcW w:w="4503" w:type="dxa"/>
            <w:tcBorders>
              <w:right w:val="nil"/>
            </w:tcBorders>
            <w:shd w:val="clear" w:color="auto" w:fill="EFD3D2"/>
            <w:noWrap/>
            <w:vAlign w:val="center"/>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Káposztarepce és réparepce</w:t>
            </w:r>
          </w:p>
        </w:tc>
        <w:tc>
          <w:tcPr>
            <w:tcW w:w="2835" w:type="dxa"/>
            <w:tcBorders>
              <w:left w:val="nil"/>
              <w:right w:val="nil"/>
            </w:tcBorders>
            <w:shd w:val="clear" w:color="auto" w:fill="EFD3D2"/>
            <w:noWrap/>
            <w:vAlign w:val="center"/>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161</w:t>
            </w:r>
          </w:p>
        </w:tc>
        <w:tc>
          <w:tcPr>
            <w:tcW w:w="1909" w:type="dxa"/>
            <w:tcBorders>
              <w:left w:val="nil"/>
            </w:tcBorders>
            <w:shd w:val="clear" w:color="auto" w:fill="EFD3D2"/>
            <w:noWrap/>
            <w:vAlign w:val="center"/>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1 531 631 495 Ft</w:t>
            </w:r>
          </w:p>
        </w:tc>
      </w:tr>
      <w:tr w:rsidR="000E2F1A" w:rsidRPr="00F64639" w:rsidTr="002F783E">
        <w:trPr>
          <w:trHeight w:val="315"/>
        </w:trPr>
        <w:tc>
          <w:tcPr>
            <w:tcW w:w="4503" w:type="dxa"/>
            <w:tcBorders>
              <w:right w:val="nil"/>
            </w:tcBorders>
            <w:noWrap/>
            <w:vAlign w:val="center"/>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Sertés, egyéb</w:t>
            </w:r>
          </w:p>
        </w:tc>
        <w:tc>
          <w:tcPr>
            <w:tcW w:w="2835" w:type="dxa"/>
            <w:tcBorders>
              <w:left w:val="nil"/>
              <w:right w:val="nil"/>
            </w:tcBorders>
            <w:noWrap/>
            <w:vAlign w:val="center"/>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147</w:t>
            </w:r>
          </w:p>
        </w:tc>
        <w:tc>
          <w:tcPr>
            <w:tcW w:w="1909" w:type="dxa"/>
            <w:tcBorders>
              <w:left w:val="nil"/>
            </w:tcBorders>
            <w:noWrap/>
            <w:vAlign w:val="center"/>
          </w:tcPr>
          <w:p w:rsidR="001B47B2" w:rsidRPr="00F64639" w:rsidRDefault="001B47B2" w:rsidP="002F783E">
            <w:pPr>
              <w:spacing w:after="60" w:line="240" w:lineRule="auto"/>
              <w:jc w:val="center"/>
              <w:rPr>
                <w:rFonts w:cs="Arial"/>
                <w:color w:val="000000"/>
                <w:sz w:val="18"/>
                <w:szCs w:val="18"/>
              </w:rPr>
            </w:pPr>
            <w:r w:rsidRPr="00F64639">
              <w:rPr>
                <w:rFonts w:cs="Arial"/>
                <w:color w:val="000000"/>
                <w:sz w:val="18"/>
                <w:szCs w:val="18"/>
              </w:rPr>
              <w:t>8 783 284 692 Ft</w:t>
            </w:r>
          </w:p>
        </w:tc>
      </w:tr>
      <w:tr w:rsidR="000E2F1A" w:rsidRPr="00F64639" w:rsidTr="002F783E">
        <w:trPr>
          <w:trHeight w:val="315"/>
        </w:trPr>
        <w:tc>
          <w:tcPr>
            <w:tcW w:w="4503" w:type="dxa"/>
            <w:tcBorders>
              <w:right w:val="nil"/>
            </w:tcBorders>
            <w:shd w:val="clear" w:color="auto" w:fill="EFD3D2"/>
            <w:noWrap/>
            <w:vAlign w:val="center"/>
          </w:tcPr>
          <w:p w:rsidR="001B47B2" w:rsidRPr="00F64639" w:rsidRDefault="001B47B2" w:rsidP="002F783E">
            <w:pPr>
              <w:spacing w:after="60" w:line="240" w:lineRule="auto"/>
              <w:rPr>
                <w:rFonts w:cs="Arial"/>
                <w:b/>
                <w:bCs/>
                <w:color w:val="000000"/>
                <w:sz w:val="18"/>
                <w:szCs w:val="18"/>
              </w:rPr>
            </w:pPr>
            <w:r w:rsidRPr="00F64639">
              <w:rPr>
                <w:rFonts w:cs="Arial"/>
                <w:bCs/>
                <w:color w:val="000000"/>
                <w:sz w:val="18"/>
                <w:szCs w:val="18"/>
              </w:rPr>
              <w:t>Cukorrépa</w:t>
            </w:r>
          </w:p>
        </w:tc>
        <w:tc>
          <w:tcPr>
            <w:tcW w:w="2835" w:type="dxa"/>
            <w:tcBorders>
              <w:left w:val="nil"/>
              <w:right w:val="nil"/>
            </w:tcBorders>
            <w:shd w:val="clear" w:color="auto" w:fill="EFD3D2"/>
            <w:noWrap/>
            <w:vAlign w:val="center"/>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130</w:t>
            </w:r>
          </w:p>
        </w:tc>
        <w:tc>
          <w:tcPr>
            <w:tcW w:w="1909" w:type="dxa"/>
            <w:tcBorders>
              <w:left w:val="nil"/>
            </w:tcBorders>
            <w:shd w:val="clear" w:color="auto" w:fill="EFD3D2"/>
            <w:noWrap/>
            <w:vAlign w:val="center"/>
          </w:tcPr>
          <w:p w:rsidR="001B47B2" w:rsidRPr="00F64639" w:rsidRDefault="001B47B2" w:rsidP="002F783E">
            <w:pPr>
              <w:spacing w:after="60" w:line="240" w:lineRule="auto"/>
              <w:jc w:val="center"/>
              <w:rPr>
                <w:rFonts w:cs="Arial"/>
                <w:bCs/>
                <w:color w:val="000000"/>
                <w:sz w:val="18"/>
                <w:szCs w:val="18"/>
              </w:rPr>
            </w:pPr>
            <w:r w:rsidRPr="00F64639">
              <w:rPr>
                <w:rFonts w:cs="Arial"/>
                <w:bCs/>
                <w:color w:val="000000"/>
                <w:sz w:val="18"/>
                <w:szCs w:val="18"/>
              </w:rPr>
              <w:t>4 531 248 646 Ft</w:t>
            </w:r>
          </w:p>
        </w:tc>
      </w:tr>
    </w:tbl>
    <w:p w:rsidR="00A759F0" w:rsidRPr="00F64639" w:rsidRDefault="00075A29" w:rsidP="00B031E3">
      <w:pPr>
        <w:pStyle w:val="Caption"/>
        <w:spacing w:before="60" w:after="120" w:line="280" w:lineRule="atLeast"/>
        <w:jc w:val="center"/>
        <w:rPr>
          <w:color w:val="auto"/>
        </w:rPr>
      </w:pPr>
      <w:r w:rsidRPr="00F64639">
        <w:rPr>
          <w:color w:val="auto"/>
        </w:rPr>
        <w:fldChar w:fldCharType="begin"/>
      </w:r>
      <w:r w:rsidR="00B031E3" w:rsidRPr="00F64639">
        <w:rPr>
          <w:color w:val="auto"/>
        </w:rPr>
        <w:instrText xml:space="preserve"> SEQ táblázat \* ARABIC </w:instrText>
      </w:r>
      <w:r w:rsidRPr="00F64639">
        <w:rPr>
          <w:color w:val="auto"/>
        </w:rPr>
        <w:fldChar w:fldCharType="separate"/>
      </w:r>
      <w:r w:rsidR="00E30745" w:rsidRPr="00F64639">
        <w:rPr>
          <w:noProof/>
          <w:color w:val="auto"/>
        </w:rPr>
        <w:t>14</w:t>
      </w:r>
      <w:r w:rsidRPr="00F64639">
        <w:rPr>
          <w:color w:val="auto"/>
        </w:rPr>
        <w:fldChar w:fldCharType="end"/>
      </w:r>
      <w:r w:rsidR="00B031E3" w:rsidRPr="00F64639">
        <w:rPr>
          <w:color w:val="auto"/>
        </w:rPr>
        <w:t>. táblázat: SFH jellemzők - gépbeszerzés</w:t>
      </w:r>
    </w:p>
    <w:p w:rsidR="00D85A14" w:rsidRPr="00F64639" w:rsidRDefault="00D85A14" w:rsidP="0090637B">
      <w:pPr>
        <w:autoSpaceDE w:val="0"/>
        <w:autoSpaceDN w:val="0"/>
        <w:adjustRightInd w:val="0"/>
        <w:jc w:val="both"/>
      </w:pPr>
      <w:r w:rsidRPr="00F64639">
        <w:t xml:space="preserve">A </w:t>
      </w:r>
      <w:r w:rsidR="0090637B" w:rsidRPr="00F64639">
        <w:t>beszerezni kívánt gépek vizsgálata megállapította, hogy a legtöbb támogatás traktorbeszerzésre és bet</w:t>
      </w:r>
      <w:r w:rsidR="0090637B" w:rsidRPr="00F64639">
        <w:t>a</w:t>
      </w:r>
      <w:r w:rsidR="0090637B" w:rsidRPr="00F64639">
        <w:t>karítógépekre irányult.</w:t>
      </w:r>
      <w:r w:rsidR="00043A07" w:rsidRPr="00F64639">
        <w:t xml:space="preserve"> A következő táblázat a gazdálkodás – 2007-es évi SFH értéke alapján – mérete sz</w:t>
      </w:r>
      <w:r w:rsidR="00043A07" w:rsidRPr="00F64639">
        <w:t>e</w:t>
      </w:r>
      <w:r w:rsidR="00043A07" w:rsidRPr="00F64639">
        <w:t xml:space="preserve">rinti bontásban mutatja be az egyes gépcsoportok beszerzésére irányuló támogatási </w:t>
      </w:r>
      <w:proofErr w:type="gramStart"/>
      <w:r w:rsidR="00043A07" w:rsidRPr="00F64639">
        <w:t>összegeket</w:t>
      </w:r>
      <w:r w:rsidR="00044E7F" w:rsidRPr="00F64639">
        <w:rPr>
          <w:rStyle w:val="FootnoteReference"/>
        </w:rPr>
        <w:footnoteReference w:id="55"/>
      </w:r>
      <w:r w:rsidR="00043A07" w:rsidRPr="00F64639">
        <w:t>.</w:t>
      </w:r>
      <w:proofErr w:type="gramEnd"/>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384"/>
        <w:gridCol w:w="1599"/>
        <w:gridCol w:w="1599"/>
        <w:gridCol w:w="1599"/>
        <w:gridCol w:w="1599"/>
        <w:gridCol w:w="1599"/>
      </w:tblGrid>
      <w:tr w:rsidR="000E2F1A" w:rsidRPr="00F64639" w:rsidTr="002F783E">
        <w:trPr>
          <w:tblHeader/>
          <w:jc w:val="center"/>
        </w:trPr>
        <w:tc>
          <w:tcPr>
            <w:tcW w:w="1384"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lastRenderedPageBreak/>
              <w:t>Gépcsoport</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t>Mikro gazdálkodó</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t>Kis gazdálkodó</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t>Középgazdálkodó</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t>Nagy gazdálkodó</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t>Összesen</w:t>
            </w:r>
          </w:p>
        </w:tc>
      </w:tr>
      <w:tr w:rsidR="000E2F1A" w:rsidRPr="00F64639" w:rsidTr="002F783E">
        <w:trPr>
          <w:tblHeader/>
          <w:jc w:val="center"/>
        </w:trPr>
        <w:tc>
          <w:tcPr>
            <w:tcW w:w="1384"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Traktorok</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jc w:val="center"/>
              <w:rPr>
                <w:rFonts w:cs="Arial"/>
                <w:b/>
                <w:bCs/>
                <w:color w:val="000000"/>
                <w:sz w:val="18"/>
                <w:szCs w:val="18"/>
              </w:rPr>
            </w:pPr>
            <w:r w:rsidRPr="00F64639">
              <w:rPr>
                <w:rFonts w:cs="Arial"/>
                <w:b/>
                <w:bCs/>
                <w:color w:val="000000"/>
                <w:sz w:val="18"/>
                <w:szCs w:val="18"/>
              </w:rPr>
              <w:t xml:space="preserve">3 672 264 868 </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jc w:val="center"/>
              <w:rPr>
                <w:rFonts w:cs="Arial"/>
                <w:b/>
                <w:bCs/>
                <w:color w:val="000000"/>
                <w:sz w:val="18"/>
                <w:szCs w:val="18"/>
              </w:rPr>
            </w:pPr>
            <w:r w:rsidRPr="00F64639">
              <w:rPr>
                <w:rFonts w:cs="Arial"/>
                <w:b/>
                <w:bCs/>
                <w:color w:val="000000"/>
                <w:sz w:val="18"/>
                <w:szCs w:val="18"/>
              </w:rPr>
              <w:t xml:space="preserve">5 437 559 </w:t>
            </w:r>
            <w:proofErr w:type="spellStart"/>
            <w:r w:rsidRPr="00F64639">
              <w:rPr>
                <w:rFonts w:cs="Arial"/>
                <w:b/>
                <w:bCs/>
                <w:color w:val="000000"/>
                <w:sz w:val="18"/>
                <w:szCs w:val="18"/>
              </w:rPr>
              <w:t>559</w:t>
            </w:r>
            <w:proofErr w:type="spellEnd"/>
            <w:r w:rsidRPr="00F64639">
              <w:rPr>
                <w:rFonts w:cs="Arial"/>
                <w:b/>
                <w:bCs/>
                <w:color w:val="000000"/>
                <w:sz w:val="18"/>
                <w:szCs w:val="18"/>
              </w:rPr>
              <w:t xml:space="preserve"> </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jc w:val="center"/>
              <w:rPr>
                <w:rFonts w:cs="Arial"/>
                <w:b/>
                <w:bCs/>
                <w:color w:val="000000"/>
                <w:sz w:val="18"/>
                <w:szCs w:val="18"/>
              </w:rPr>
            </w:pPr>
            <w:r w:rsidRPr="00F64639">
              <w:rPr>
                <w:rFonts w:cs="Arial"/>
                <w:b/>
                <w:bCs/>
                <w:color w:val="000000"/>
                <w:sz w:val="18"/>
                <w:szCs w:val="18"/>
              </w:rPr>
              <w:t xml:space="preserve">3 021 325 761 </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jc w:val="center"/>
              <w:rPr>
                <w:rFonts w:cs="Arial"/>
                <w:b/>
                <w:bCs/>
                <w:color w:val="000000"/>
                <w:sz w:val="18"/>
                <w:szCs w:val="18"/>
              </w:rPr>
            </w:pPr>
            <w:r w:rsidRPr="00F64639">
              <w:rPr>
                <w:rFonts w:cs="Arial"/>
                <w:b/>
                <w:bCs/>
                <w:color w:val="000000"/>
                <w:sz w:val="18"/>
                <w:szCs w:val="18"/>
              </w:rPr>
              <w:t xml:space="preserve">11 290 033 302 </w:t>
            </w:r>
          </w:p>
        </w:tc>
        <w:tc>
          <w:tcPr>
            <w:tcW w:w="1599"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043A07" w:rsidRPr="00F64639" w:rsidRDefault="00043A07" w:rsidP="002F783E">
            <w:pPr>
              <w:jc w:val="center"/>
              <w:rPr>
                <w:rFonts w:cs="Arial"/>
                <w:b/>
                <w:bCs/>
                <w:color w:val="000000"/>
                <w:sz w:val="18"/>
                <w:szCs w:val="18"/>
              </w:rPr>
            </w:pPr>
            <w:r w:rsidRPr="00F64639">
              <w:rPr>
                <w:rFonts w:cs="Arial"/>
                <w:b/>
                <w:bCs/>
                <w:color w:val="000000"/>
                <w:sz w:val="18"/>
                <w:szCs w:val="18"/>
              </w:rPr>
              <w:t xml:space="preserve">23 421 183 490 </w:t>
            </w:r>
          </w:p>
        </w:tc>
      </w:tr>
      <w:tr w:rsidR="000E2F1A" w:rsidRPr="00F64639" w:rsidTr="002F783E">
        <w:trPr>
          <w:jc w:val="center"/>
        </w:trPr>
        <w:tc>
          <w:tcPr>
            <w:tcW w:w="1384" w:type="dxa"/>
            <w:tcBorders>
              <w:top w:val="single" w:sz="8" w:space="0" w:color="FFFFFF"/>
              <w:left w:val="single" w:sz="8" w:space="0" w:color="FFFFFF"/>
              <w:bottom w:val="nil"/>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Magajáró b</w:t>
            </w:r>
            <w:r w:rsidRPr="00F64639">
              <w:rPr>
                <w:bCs/>
                <w:color w:val="FFFFFF"/>
                <w:sz w:val="18"/>
                <w:szCs w:val="18"/>
              </w:rPr>
              <w:t>e</w:t>
            </w:r>
            <w:r w:rsidRPr="00F64639">
              <w:rPr>
                <w:bCs/>
                <w:color w:val="FFFFFF"/>
                <w:sz w:val="18"/>
                <w:szCs w:val="18"/>
              </w:rPr>
              <w:t>takarítók</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1 452 305 143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4 252 815 924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658 503 938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8 818 762 440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15 182 387 444 </w:t>
            </w:r>
          </w:p>
        </w:tc>
      </w:tr>
      <w:tr w:rsidR="000E2F1A" w:rsidRPr="00F64639" w:rsidTr="002F783E">
        <w:trPr>
          <w:jc w:val="center"/>
        </w:trPr>
        <w:tc>
          <w:tcPr>
            <w:tcW w:w="1384" w:type="dxa"/>
            <w:tcBorders>
              <w:left w:val="single" w:sz="8" w:space="0" w:color="FFFFFF"/>
              <w:bottom w:val="nil"/>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Talajművelők</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927 828 780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1 845 461 755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555 688 663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3 459 837 675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6 788 816 874 </w:t>
            </w:r>
          </w:p>
        </w:tc>
      </w:tr>
      <w:tr w:rsidR="000E2F1A" w:rsidRPr="00F64639" w:rsidTr="002F783E">
        <w:trPr>
          <w:jc w:val="center"/>
        </w:trPr>
        <w:tc>
          <w:tcPr>
            <w:tcW w:w="1384" w:type="dxa"/>
            <w:tcBorders>
              <w:top w:val="single" w:sz="8" w:space="0" w:color="FFFFFF"/>
              <w:left w:val="single" w:sz="8" w:space="0" w:color="FFFFFF"/>
              <w:bottom w:val="nil"/>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Vető-ültető</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564 801 322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1 155 270 894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300 821 962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2 203 398 629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4 224 292 806 </w:t>
            </w:r>
          </w:p>
        </w:tc>
      </w:tr>
      <w:tr w:rsidR="000E2F1A" w:rsidRPr="00F64639" w:rsidTr="002F783E">
        <w:trPr>
          <w:jc w:val="center"/>
        </w:trPr>
        <w:tc>
          <w:tcPr>
            <w:tcW w:w="1384" w:type="dxa"/>
            <w:tcBorders>
              <w:left w:val="single" w:sz="8" w:space="0" w:color="FFFFFF"/>
              <w:bottom w:val="nil"/>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Egyéb magaj</w:t>
            </w:r>
            <w:r w:rsidRPr="00F64639">
              <w:rPr>
                <w:bCs/>
                <w:color w:val="FFFFFF"/>
                <w:sz w:val="18"/>
                <w:szCs w:val="18"/>
              </w:rPr>
              <w:t>á</w:t>
            </w:r>
            <w:r w:rsidRPr="00F64639">
              <w:rPr>
                <w:bCs/>
                <w:color w:val="FFFFFF"/>
                <w:sz w:val="18"/>
                <w:szCs w:val="18"/>
              </w:rPr>
              <w:t>rók</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542 041 087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975 479 478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306 182 969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2 093 925 796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3 917 629 329 </w:t>
            </w:r>
          </w:p>
        </w:tc>
      </w:tr>
      <w:tr w:rsidR="000E2F1A" w:rsidRPr="00F64639" w:rsidTr="002F783E">
        <w:trPr>
          <w:jc w:val="center"/>
        </w:trPr>
        <w:tc>
          <w:tcPr>
            <w:tcW w:w="1384" w:type="dxa"/>
            <w:tcBorders>
              <w:top w:val="single" w:sz="8" w:space="0" w:color="FFFFFF"/>
              <w:left w:val="single" w:sz="8" w:space="0" w:color="FFFFFF"/>
              <w:bottom w:val="nil"/>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Betakarítók</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184 439 974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783 529 907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200 770 846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2 733 459 083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3 902 199 811 </w:t>
            </w:r>
          </w:p>
        </w:tc>
      </w:tr>
      <w:tr w:rsidR="000E2F1A" w:rsidRPr="00F64639" w:rsidTr="002F783E">
        <w:trPr>
          <w:jc w:val="center"/>
        </w:trPr>
        <w:tc>
          <w:tcPr>
            <w:tcW w:w="1384" w:type="dxa"/>
            <w:tcBorders>
              <w:left w:val="single" w:sz="8" w:space="0" w:color="FFFFFF"/>
              <w:bottom w:val="nil"/>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Cs/>
                <w:color w:val="FFFFFF"/>
                <w:sz w:val="18"/>
                <w:szCs w:val="18"/>
              </w:rPr>
              <w:t>Növényvédő</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470 770 637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701 903 883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269 168 475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1 267 920 611 </w:t>
            </w:r>
          </w:p>
        </w:tc>
        <w:tc>
          <w:tcPr>
            <w:tcW w:w="1599" w:type="dxa"/>
            <w:shd w:val="clear" w:color="auto" w:fill="EFD3D2"/>
            <w:vAlign w:val="center"/>
          </w:tcPr>
          <w:p w:rsidR="00043A07" w:rsidRPr="00F64639" w:rsidRDefault="00043A07" w:rsidP="002F783E">
            <w:pPr>
              <w:jc w:val="center"/>
              <w:rPr>
                <w:rFonts w:cs="Arial"/>
                <w:color w:val="000000"/>
                <w:sz w:val="18"/>
                <w:szCs w:val="18"/>
              </w:rPr>
            </w:pPr>
            <w:r w:rsidRPr="00F64639">
              <w:rPr>
                <w:rFonts w:cs="Arial"/>
                <w:color w:val="000000"/>
                <w:sz w:val="18"/>
                <w:szCs w:val="18"/>
              </w:rPr>
              <w:t xml:space="preserve">2 709 763 606 </w:t>
            </w:r>
          </w:p>
        </w:tc>
      </w:tr>
      <w:tr w:rsidR="000E2F1A" w:rsidRPr="00F64639" w:rsidTr="002F783E">
        <w:trPr>
          <w:jc w:val="center"/>
        </w:trPr>
        <w:tc>
          <w:tcPr>
            <w:tcW w:w="1384" w:type="dxa"/>
            <w:tcBorders>
              <w:top w:val="single" w:sz="8" w:space="0" w:color="FFFFFF"/>
              <w:left w:val="single" w:sz="8" w:space="0" w:color="FFFFFF"/>
              <w:bottom w:val="single" w:sz="8" w:space="0" w:color="FFFFFF"/>
              <w:right w:val="single" w:sz="24" w:space="0" w:color="FFFFFF"/>
            </w:tcBorders>
            <w:shd w:val="clear" w:color="auto" w:fill="C0504D"/>
            <w:vAlign w:val="center"/>
          </w:tcPr>
          <w:p w:rsidR="00043A07" w:rsidRPr="00F64639" w:rsidRDefault="00043A07" w:rsidP="002F783E">
            <w:pPr>
              <w:widowControl w:val="0"/>
              <w:autoSpaceDE w:val="0"/>
              <w:autoSpaceDN w:val="0"/>
              <w:adjustRightInd w:val="0"/>
              <w:jc w:val="center"/>
              <w:rPr>
                <w:b/>
                <w:bCs/>
                <w:color w:val="FFFFFF"/>
                <w:sz w:val="18"/>
                <w:szCs w:val="18"/>
              </w:rPr>
            </w:pPr>
            <w:r w:rsidRPr="00F64639">
              <w:rPr>
                <w:b/>
                <w:bCs/>
                <w:color w:val="FFFFFF"/>
                <w:sz w:val="18"/>
                <w:szCs w:val="18"/>
              </w:rPr>
              <w:t>Összesen</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widowControl w:val="0"/>
              <w:autoSpaceDE w:val="0"/>
              <w:autoSpaceDN w:val="0"/>
              <w:adjustRightInd w:val="0"/>
              <w:jc w:val="center"/>
              <w:rPr>
                <w:b/>
                <w:sz w:val="18"/>
                <w:szCs w:val="18"/>
              </w:rPr>
            </w:pPr>
            <w:r w:rsidRPr="00F64639">
              <w:rPr>
                <w:b/>
                <w:sz w:val="18"/>
                <w:szCs w:val="18"/>
              </w:rPr>
              <w:t xml:space="preserve">7 814 451 812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widowControl w:val="0"/>
              <w:autoSpaceDE w:val="0"/>
              <w:autoSpaceDN w:val="0"/>
              <w:adjustRightInd w:val="0"/>
              <w:jc w:val="center"/>
              <w:rPr>
                <w:b/>
                <w:sz w:val="18"/>
                <w:szCs w:val="18"/>
              </w:rPr>
            </w:pPr>
            <w:r w:rsidRPr="00F64639">
              <w:rPr>
                <w:b/>
                <w:sz w:val="18"/>
                <w:szCs w:val="18"/>
              </w:rPr>
              <w:t xml:space="preserve">15 152 021 400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widowControl w:val="0"/>
              <w:autoSpaceDE w:val="0"/>
              <w:autoSpaceDN w:val="0"/>
              <w:adjustRightInd w:val="0"/>
              <w:jc w:val="center"/>
              <w:rPr>
                <w:b/>
                <w:sz w:val="18"/>
                <w:szCs w:val="18"/>
              </w:rPr>
            </w:pPr>
            <w:r w:rsidRPr="00F64639">
              <w:rPr>
                <w:b/>
                <w:sz w:val="18"/>
                <w:szCs w:val="18"/>
              </w:rPr>
              <w:t xml:space="preserve">5 312 462 613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widowControl w:val="0"/>
              <w:autoSpaceDE w:val="0"/>
              <w:autoSpaceDN w:val="0"/>
              <w:adjustRightInd w:val="0"/>
              <w:jc w:val="center"/>
              <w:rPr>
                <w:b/>
                <w:sz w:val="18"/>
                <w:szCs w:val="18"/>
              </w:rPr>
            </w:pPr>
            <w:r w:rsidRPr="00F64639">
              <w:rPr>
                <w:b/>
                <w:sz w:val="18"/>
                <w:szCs w:val="18"/>
              </w:rPr>
              <w:t xml:space="preserve">31 867 337 535 </w:t>
            </w:r>
          </w:p>
        </w:tc>
        <w:tc>
          <w:tcPr>
            <w:tcW w:w="1599"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043A07" w:rsidRPr="00F64639" w:rsidRDefault="00043A07" w:rsidP="002F783E">
            <w:pPr>
              <w:widowControl w:val="0"/>
              <w:autoSpaceDE w:val="0"/>
              <w:autoSpaceDN w:val="0"/>
              <w:adjustRightInd w:val="0"/>
              <w:jc w:val="center"/>
              <w:rPr>
                <w:b/>
                <w:sz w:val="18"/>
                <w:szCs w:val="18"/>
              </w:rPr>
            </w:pPr>
            <w:r w:rsidRPr="00F64639">
              <w:rPr>
                <w:b/>
                <w:sz w:val="18"/>
                <w:szCs w:val="18"/>
              </w:rPr>
              <w:t xml:space="preserve">60 146 273 360 </w:t>
            </w:r>
          </w:p>
        </w:tc>
      </w:tr>
    </w:tbl>
    <w:p w:rsidR="00397597" w:rsidRPr="00F64639" w:rsidRDefault="00075A29" w:rsidP="00B031E3">
      <w:pPr>
        <w:pStyle w:val="Caption"/>
        <w:spacing w:before="60" w:after="120" w:line="280" w:lineRule="atLeast"/>
        <w:jc w:val="center"/>
        <w:rPr>
          <w:color w:val="auto"/>
        </w:rPr>
      </w:pPr>
      <w:r w:rsidRPr="00F64639">
        <w:rPr>
          <w:color w:val="auto"/>
        </w:rPr>
        <w:fldChar w:fldCharType="begin"/>
      </w:r>
      <w:r w:rsidR="00B031E3" w:rsidRPr="00F64639">
        <w:rPr>
          <w:color w:val="auto"/>
        </w:rPr>
        <w:instrText xml:space="preserve"> SEQ táblázat \* ARABIC </w:instrText>
      </w:r>
      <w:r w:rsidRPr="00F64639">
        <w:rPr>
          <w:color w:val="auto"/>
        </w:rPr>
        <w:fldChar w:fldCharType="separate"/>
      </w:r>
      <w:r w:rsidR="00E30745" w:rsidRPr="00F64639">
        <w:rPr>
          <w:noProof/>
          <w:color w:val="auto"/>
        </w:rPr>
        <w:t>15</w:t>
      </w:r>
      <w:r w:rsidRPr="00F64639">
        <w:rPr>
          <w:color w:val="auto"/>
        </w:rPr>
        <w:fldChar w:fldCharType="end"/>
      </w:r>
      <w:r w:rsidR="00B031E3" w:rsidRPr="00F64639">
        <w:rPr>
          <w:color w:val="auto"/>
        </w:rPr>
        <w:t>. táblázat: Megvalósult beszerzések - gépbeszerzés jogcím</w:t>
      </w:r>
    </w:p>
    <w:tbl>
      <w:tblPr>
        <w:tblW w:w="7993" w:type="dxa"/>
        <w:jc w:val="center"/>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4253"/>
        <w:gridCol w:w="1275"/>
        <w:gridCol w:w="1134"/>
        <w:gridCol w:w="1331"/>
      </w:tblGrid>
      <w:tr w:rsidR="000E2F1A" w:rsidRPr="00F64639" w:rsidTr="002F783E">
        <w:trPr>
          <w:jc w:val="center"/>
        </w:trPr>
        <w:tc>
          <w:tcPr>
            <w:tcW w:w="4253" w:type="dxa"/>
            <w:vMerge w:val="restart"/>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bCs/>
                <w:color w:val="FFFFFF"/>
              </w:rPr>
            </w:pPr>
            <w:r w:rsidRPr="00F64639">
              <w:rPr>
                <w:b/>
                <w:bCs/>
                <w:color w:val="FFFFFF"/>
              </w:rPr>
              <w:t>Kiválasztott főbb gépcsoportok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bCs/>
                <w:color w:val="FFFFFF"/>
              </w:rPr>
            </w:pPr>
            <w:r w:rsidRPr="00F64639">
              <w:rPr>
                <w:b/>
                <w:bCs/>
                <w:color w:val="FFFFFF"/>
              </w:rPr>
              <w:t>Környezeti besorolás</w:t>
            </w:r>
          </w:p>
        </w:tc>
        <w:tc>
          <w:tcPr>
            <w:tcW w:w="1331" w:type="dxa"/>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bCs/>
                <w:color w:val="FFFFFF"/>
              </w:rPr>
            </w:pPr>
          </w:p>
        </w:tc>
      </w:tr>
      <w:tr w:rsidR="000E2F1A" w:rsidRPr="00F64639" w:rsidTr="002F783E">
        <w:trPr>
          <w:jc w:val="center"/>
        </w:trPr>
        <w:tc>
          <w:tcPr>
            <w:tcW w:w="4253" w:type="dxa"/>
            <w:vMerge/>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bCs/>
                <w:color w:val="FFFFFF"/>
              </w:rPr>
            </w:pPr>
          </w:p>
        </w:tc>
        <w:tc>
          <w:tcPr>
            <w:tcW w:w="1275" w:type="dxa"/>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color w:val="FFFFFF"/>
              </w:rPr>
            </w:pPr>
            <w:r w:rsidRPr="00F64639">
              <w:rPr>
                <w:b/>
                <w:color w:val="FFFFFF"/>
              </w:rPr>
              <w:t>0</w:t>
            </w:r>
          </w:p>
        </w:tc>
        <w:tc>
          <w:tcPr>
            <w:tcW w:w="1134" w:type="dxa"/>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color w:val="FFFFFF"/>
              </w:rPr>
            </w:pPr>
            <w:r w:rsidRPr="00F64639">
              <w:rPr>
                <w:b/>
                <w:color w:val="FFFFFF"/>
              </w:rPr>
              <w:t>1</w:t>
            </w:r>
          </w:p>
        </w:tc>
        <w:tc>
          <w:tcPr>
            <w:tcW w:w="1331" w:type="dxa"/>
            <w:tcBorders>
              <w:top w:val="single" w:sz="4" w:space="0" w:color="auto"/>
              <w:left w:val="single" w:sz="4" w:space="0" w:color="auto"/>
              <w:bottom w:val="single" w:sz="4" w:space="0" w:color="auto"/>
              <w:right w:val="single" w:sz="4" w:space="0" w:color="auto"/>
            </w:tcBorders>
            <w:shd w:val="clear" w:color="auto" w:fill="C0504D"/>
          </w:tcPr>
          <w:p w:rsidR="00A86EC8" w:rsidRPr="00F64639" w:rsidRDefault="00A86EC8" w:rsidP="002F783E">
            <w:pPr>
              <w:pStyle w:val="HUNNormal"/>
              <w:tabs>
                <w:tab w:val="left" w:pos="709"/>
              </w:tabs>
              <w:rPr>
                <w:b/>
                <w:color w:val="FFFFFF"/>
              </w:rPr>
            </w:pPr>
            <w:r w:rsidRPr="00F64639">
              <w:rPr>
                <w:b/>
                <w:color w:val="FFFFFF"/>
              </w:rPr>
              <w:t>Összesen</w:t>
            </w:r>
          </w:p>
        </w:tc>
      </w:tr>
      <w:tr w:rsidR="000E2F1A" w:rsidRPr="00F64639" w:rsidTr="002F783E">
        <w:trPr>
          <w:jc w:val="center"/>
        </w:trPr>
        <w:tc>
          <w:tcPr>
            <w:tcW w:w="4253" w:type="dxa"/>
            <w:tcBorders>
              <w:top w:val="single" w:sz="4" w:space="0" w:color="auto"/>
              <w:right w:val="nil"/>
            </w:tcBorders>
            <w:vAlign w:val="center"/>
          </w:tcPr>
          <w:p w:rsidR="00A86EC8" w:rsidRPr="00F64639" w:rsidRDefault="00A86EC8" w:rsidP="002F783E">
            <w:pPr>
              <w:jc w:val="center"/>
              <w:rPr>
                <w:rFonts w:ascii="Arial" w:hAnsi="Arial" w:cs="Arial"/>
                <w:b/>
                <w:bCs/>
                <w:color w:val="000000"/>
                <w:sz w:val="16"/>
                <w:szCs w:val="16"/>
              </w:rPr>
            </w:pPr>
            <w:r w:rsidRPr="00F64639">
              <w:rPr>
                <w:rFonts w:ascii="Arial" w:hAnsi="Arial" w:cs="Arial"/>
                <w:b/>
                <w:bCs/>
                <w:color w:val="000000"/>
                <w:sz w:val="16"/>
                <w:szCs w:val="16"/>
              </w:rPr>
              <w:t>Talajművelő- és földművelőgépek</w:t>
            </w:r>
          </w:p>
        </w:tc>
        <w:tc>
          <w:tcPr>
            <w:tcW w:w="1275" w:type="dxa"/>
            <w:tcBorders>
              <w:top w:val="single" w:sz="4" w:space="0" w:color="auto"/>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1 641</w:t>
            </w:r>
          </w:p>
        </w:tc>
        <w:tc>
          <w:tcPr>
            <w:tcW w:w="1134" w:type="dxa"/>
            <w:tcBorders>
              <w:top w:val="single" w:sz="4" w:space="0" w:color="auto"/>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9 341</w:t>
            </w:r>
          </w:p>
        </w:tc>
        <w:tc>
          <w:tcPr>
            <w:tcW w:w="1331" w:type="dxa"/>
            <w:tcBorders>
              <w:top w:val="single" w:sz="4" w:space="0" w:color="auto"/>
              <w:lef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10 982</w:t>
            </w:r>
          </w:p>
        </w:tc>
      </w:tr>
      <w:tr w:rsidR="000E2F1A" w:rsidRPr="00F64639" w:rsidTr="002F783E">
        <w:trPr>
          <w:jc w:val="center"/>
        </w:trPr>
        <w:tc>
          <w:tcPr>
            <w:tcW w:w="4253" w:type="dxa"/>
            <w:tcBorders>
              <w:right w:val="nil"/>
            </w:tcBorders>
            <w:shd w:val="clear" w:color="auto" w:fill="EFD3D2"/>
            <w:vAlign w:val="center"/>
          </w:tcPr>
          <w:p w:rsidR="00A86EC8" w:rsidRPr="00F64639" w:rsidRDefault="00A86EC8" w:rsidP="002F783E">
            <w:pPr>
              <w:jc w:val="center"/>
              <w:rPr>
                <w:rFonts w:ascii="Arial" w:hAnsi="Arial" w:cs="Arial"/>
                <w:b/>
                <w:bCs/>
                <w:color w:val="000000"/>
                <w:sz w:val="16"/>
                <w:szCs w:val="16"/>
              </w:rPr>
            </w:pPr>
            <w:r w:rsidRPr="00F64639">
              <w:rPr>
                <w:rFonts w:ascii="Arial" w:hAnsi="Arial" w:cs="Arial"/>
                <w:b/>
                <w:bCs/>
                <w:color w:val="000000"/>
                <w:sz w:val="16"/>
                <w:szCs w:val="16"/>
              </w:rPr>
              <w:t>Traktorok</w:t>
            </w:r>
          </w:p>
        </w:tc>
        <w:tc>
          <w:tcPr>
            <w:tcW w:w="1275" w:type="dxa"/>
            <w:tcBorders>
              <w:left w:val="nil"/>
              <w:righ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1 998</w:t>
            </w:r>
          </w:p>
        </w:tc>
        <w:tc>
          <w:tcPr>
            <w:tcW w:w="1134" w:type="dxa"/>
            <w:tcBorders>
              <w:left w:val="nil"/>
              <w:righ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6 146</w:t>
            </w:r>
          </w:p>
        </w:tc>
        <w:tc>
          <w:tcPr>
            <w:tcW w:w="1331" w:type="dxa"/>
            <w:tcBorders>
              <w:lef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8 144</w:t>
            </w:r>
          </w:p>
        </w:tc>
      </w:tr>
      <w:tr w:rsidR="000E2F1A" w:rsidRPr="00F64639" w:rsidTr="002F783E">
        <w:trPr>
          <w:jc w:val="center"/>
        </w:trPr>
        <w:tc>
          <w:tcPr>
            <w:tcW w:w="4253" w:type="dxa"/>
            <w:tcBorders>
              <w:right w:val="nil"/>
            </w:tcBorders>
            <w:vAlign w:val="center"/>
          </w:tcPr>
          <w:p w:rsidR="00A86EC8" w:rsidRPr="00F64639" w:rsidRDefault="00A86EC8" w:rsidP="002F783E">
            <w:pPr>
              <w:jc w:val="center"/>
              <w:rPr>
                <w:rFonts w:ascii="Arial" w:hAnsi="Arial" w:cs="Arial"/>
                <w:b/>
                <w:bCs/>
                <w:color w:val="000000"/>
                <w:sz w:val="16"/>
                <w:szCs w:val="16"/>
              </w:rPr>
            </w:pPr>
            <w:proofErr w:type="spellStart"/>
            <w:r w:rsidRPr="00F64639">
              <w:rPr>
                <w:rFonts w:ascii="Arial" w:hAnsi="Arial" w:cs="Arial"/>
                <w:b/>
                <w:bCs/>
                <w:color w:val="000000"/>
                <w:sz w:val="16"/>
                <w:szCs w:val="16"/>
              </w:rPr>
              <w:t>Növényvédőgépek</w:t>
            </w:r>
            <w:proofErr w:type="spellEnd"/>
            <w:r w:rsidRPr="00F64639">
              <w:rPr>
                <w:rFonts w:ascii="Arial" w:hAnsi="Arial" w:cs="Arial"/>
                <w:b/>
                <w:bCs/>
                <w:color w:val="000000"/>
                <w:sz w:val="16"/>
                <w:szCs w:val="16"/>
              </w:rPr>
              <w:t xml:space="preserve">, műtrágya és </w:t>
            </w:r>
            <w:proofErr w:type="spellStart"/>
            <w:r w:rsidRPr="00F64639">
              <w:rPr>
                <w:rFonts w:ascii="Arial" w:hAnsi="Arial" w:cs="Arial"/>
                <w:b/>
                <w:bCs/>
                <w:color w:val="000000"/>
                <w:sz w:val="16"/>
                <w:szCs w:val="16"/>
              </w:rPr>
              <w:t>szervestrágya</w:t>
            </w:r>
            <w:proofErr w:type="spellEnd"/>
          </w:p>
        </w:tc>
        <w:tc>
          <w:tcPr>
            <w:tcW w:w="1275" w:type="dxa"/>
            <w:tcBorders>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636</w:t>
            </w:r>
          </w:p>
        </w:tc>
        <w:tc>
          <w:tcPr>
            <w:tcW w:w="1134" w:type="dxa"/>
            <w:tcBorders>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3 754</w:t>
            </w:r>
          </w:p>
        </w:tc>
        <w:tc>
          <w:tcPr>
            <w:tcW w:w="1331" w:type="dxa"/>
            <w:tcBorders>
              <w:lef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4 390</w:t>
            </w:r>
          </w:p>
        </w:tc>
      </w:tr>
      <w:tr w:rsidR="000E2F1A" w:rsidRPr="00F64639" w:rsidTr="002F783E">
        <w:trPr>
          <w:jc w:val="center"/>
        </w:trPr>
        <w:tc>
          <w:tcPr>
            <w:tcW w:w="4253" w:type="dxa"/>
            <w:tcBorders>
              <w:right w:val="nil"/>
            </w:tcBorders>
            <w:shd w:val="clear" w:color="auto" w:fill="EFD3D2"/>
            <w:vAlign w:val="center"/>
          </w:tcPr>
          <w:p w:rsidR="00A86EC8" w:rsidRPr="00F64639" w:rsidRDefault="00A86EC8" w:rsidP="002F783E">
            <w:pPr>
              <w:jc w:val="center"/>
              <w:rPr>
                <w:rFonts w:ascii="Arial" w:hAnsi="Arial" w:cs="Arial"/>
                <w:b/>
                <w:bCs/>
                <w:color w:val="000000"/>
                <w:sz w:val="16"/>
                <w:szCs w:val="16"/>
              </w:rPr>
            </w:pPr>
            <w:r w:rsidRPr="00F64639">
              <w:rPr>
                <w:rFonts w:ascii="Arial" w:hAnsi="Arial" w:cs="Arial"/>
                <w:b/>
                <w:bCs/>
                <w:color w:val="000000"/>
                <w:sz w:val="16"/>
                <w:szCs w:val="16"/>
              </w:rPr>
              <w:t>Betakarítógépek, adapterek</w:t>
            </w:r>
          </w:p>
        </w:tc>
        <w:tc>
          <w:tcPr>
            <w:tcW w:w="1275" w:type="dxa"/>
            <w:tcBorders>
              <w:left w:val="nil"/>
              <w:righ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368</w:t>
            </w:r>
          </w:p>
        </w:tc>
        <w:tc>
          <w:tcPr>
            <w:tcW w:w="1134" w:type="dxa"/>
            <w:tcBorders>
              <w:left w:val="nil"/>
              <w:righ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3 936</w:t>
            </w:r>
          </w:p>
        </w:tc>
        <w:tc>
          <w:tcPr>
            <w:tcW w:w="1331" w:type="dxa"/>
            <w:tcBorders>
              <w:lef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4 304</w:t>
            </w:r>
          </w:p>
        </w:tc>
      </w:tr>
      <w:tr w:rsidR="000E2F1A" w:rsidRPr="00F64639" w:rsidTr="002F783E">
        <w:trPr>
          <w:jc w:val="center"/>
        </w:trPr>
        <w:tc>
          <w:tcPr>
            <w:tcW w:w="4253" w:type="dxa"/>
            <w:tcBorders>
              <w:right w:val="nil"/>
            </w:tcBorders>
            <w:vAlign w:val="center"/>
          </w:tcPr>
          <w:p w:rsidR="00A86EC8" w:rsidRPr="00F64639" w:rsidRDefault="00A86EC8" w:rsidP="002F783E">
            <w:pPr>
              <w:jc w:val="center"/>
              <w:rPr>
                <w:rFonts w:ascii="Arial" w:hAnsi="Arial" w:cs="Arial"/>
                <w:b/>
                <w:bCs/>
                <w:color w:val="000000"/>
                <w:sz w:val="16"/>
                <w:szCs w:val="16"/>
              </w:rPr>
            </w:pPr>
            <w:r w:rsidRPr="00F64639">
              <w:rPr>
                <w:rFonts w:ascii="Arial" w:hAnsi="Arial" w:cs="Arial"/>
                <w:b/>
                <w:bCs/>
                <w:color w:val="000000"/>
                <w:sz w:val="16"/>
                <w:szCs w:val="16"/>
              </w:rPr>
              <w:t>Vető- és ültetőgépek</w:t>
            </w:r>
          </w:p>
        </w:tc>
        <w:tc>
          <w:tcPr>
            <w:tcW w:w="1275" w:type="dxa"/>
            <w:tcBorders>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179</w:t>
            </w:r>
          </w:p>
        </w:tc>
        <w:tc>
          <w:tcPr>
            <w:tcW w:w="1134" w:type="dxa"/>
            <w:tcBorders>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3 066</w:t>
            </w:r>
          </w:p>
        </w:tc>
        <w:tc>
          <w:tcPr>
            <w:tcW w:w="1331" w:type="dxa"/>
            <w:tcBorders>
              <w:lef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3 245</w:t>
            </w:r>
          </w:p>
        </w:tc>
      </w:tr>
      <w:tr w:rsidR="000E2F1A" w:rsidRPr="00F64639" w:rsidTr="002F783E">
        <w:trPr>
          <w:jc w:val="center"/>
        </w:trPr>
        <w:tc>
          <w:tcPr>
            <w:tcW w:w="4253" w:type="dxa"/>
            <w:tcBorders>
              <w:right w:val="nil"/>
            </w:tcBorders>
            <w:shd w:val="clear" w:color="auto" w:fill="EFD3D2"/>
            <w:vAlign w:val="center"/>
          </w:tcPr>
          <w:p w:rsidR="00A86EC8" w:rsidRPr="00F64639" w:rsidRDefault="00A86EC8" w:rsidP="002F783E">
            <w:pPr>
              <w:jc w:val="center"/>
              <w:rPr>
                <w:rFonts w:ascii="Arial" w:hAnsi="Arial" w:cs="Arial"/>
                <w:b/>
                <w:bCs/>
                <w:color w:val="000000"/>
                <w:sz w:val="16"/>
                <w:szCs w:val="16"/>
              </w:rPr>
            </w:pPr>
            <w:r w:rsidRPr="00F64639">
              <w:rPr>
                <w:rFonts w:ascii="Arial" w:hAnsi="Arial" w:cs="Arial"/>
                <w:b/>
                <w:bCs/>
                <w:color w:val="000000"/>
                <w:sz w:val="16"/>
                <w:szCs w:val="16"/>
              </w:rPr>
              <w:t>Magajáró betakarítók</w:t>
            </w:r>
          </w:p>
        </w:tc>
        <w:tc>
          <w:tcPr>
            <w:tcW w:w="1275" w:type="dxa"/>
            <w:tcBorders>
              <w:left w:val="nil"/>
              <w:righ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2</w:t>
            </w:r>
          </w:p>
        </w:tc>
        <w:tc>
          <w:tcPr>
            <w:tcW w:w="1134" w:type="dxa"/>
            <w:tcBorders>
              <w:left w:val="nil"/>
              <w:righ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1 911</w:t>
            </w:r>
          </w:p>
        </w:tc>
        <w:tc>
          <w:tcPr>
            <w:tcW w:w="1331" w:type="dxa"/>
            <w:tcBorders>
              <w:left w:val="nil"/>
            </w:tcBorders>
            <w:shd w:val="clear" w:color="auto" w:fill="EFD3D2"/>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1 913</w:t>
            </w:r>
          </w:p>
        </w:tc>
      </w:tr>
      <w:tr w:rsidR="000E2F1A" w:rsidRPr="00F64639" w:rsidTr="002F783E">
        <w:trPr>
          <w:jc w:val="center"/>
        </w:trPr>
        <w:tc>
          <w:tcPr>
            <w:tcW w:w="4253" w:type="dxa"/>
            <w:tcBorders>
              <w:right w:val="nil"/>
            </w:tcBorders>
            <w:vAlign w:val="center"/>
          </w:tcPr>
          <w:p w:rsidR="00A86EC8" w:rsidRPr="00F64639" w:rsidRDefault="00A86EC8" w:rsidP="002F783E">
            <w:pPr>
              <w:jc w:val="center"/>
              <w:rPr>
                <w:rFonts w:ascii="Arial" w:hAnsi="Arial" w:cs="Arial"/>
                <w:b/>
                <w:bCs/>
                <w:color w:val="000000"/>
                <w:sz w:val="16"/>
                <w:szCs w:val="16"/>
              </w:rPr>
            </w:pPr>
            <w:r w:rsidRPr="00F64639">
              <w:rPr>
                <w:rFonts w:ascii="Arial" w:hAnsi="Arial" w:cs="Arial"/>
                <w:b/>
                <w:bCs/>
                <w:color w:val="000000"/>
                <w:sz w:val="16"/>
                <w:szCs w:val="16"/>
              </w:rPr>
              <w:t>Egyéb magajáró gépek</w:t>
            </w:r>
          </w:p>
        </w:tc>
        <w:tc>
          <w:tcPr>
            <w:tcW w:w="1275" w:type="dxa"/>
            <w:tcBorders>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11</w:t>
            </w:r>
          </w:p>
        </w:tc>
        <w:tc>
          <w:tcPr>
            <w:tcW w:w="1134" w:type="dxa"/>
            <w:tcBorders>
              <w:left w:val="nil"/>
              <w:righ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 xml:space="preserve"> 1 025</w:t>
            </w:r>
          </w:p>
        </w:tc>
        <w:tc>
          <w:tcPr>
            <w:tcW w:w="1331" w:type="dxa"/>
            <w:tcBorders>
              <w:left w:val="nil"/>
            </w:tcBorders>
            <w:vAlign w:val="center"/>
          </w:tcPr>
          <w:p w:rsidR="00A86EC8" w:rsidRPr="00F64639" w:rsidRDefault="00A86EC8" w:rsidP="002F783E">
            <w:pPr>
              <w:jc w:val="center"/>
              <w:rPr>
                <w:rFonts w:ascii="Arial" w:hAnsi="Arial" w:cs="Arial"/>
                <w:color w:val="000000"/>
                <w:sz w:val="16"/>
                <w:szCs w:val="16"/>
              </w:rPr>
            </w:pPr>
            <w:r w:rsidRPr="00F64639">
              <w:rPr>
                <w:rFonts w:ascii="Arial" w:hAnsi="Arial" w:cs="Arial"/>
                <w:color w:val="000000"/>
                <w:sz w:val="16"/>
                <w:szCs w:val="16"/>
              </w:rPr>
              <w:t>1 036</w:t>
            </w:r>
          </w:p>
        </w:tc>
      </w:tr>
      <w:tr w:rsidR="000E2F1A" w:rsidRPr="00F64639" w:rsidTr="002F783E">
        <w:trPr>
          <w:jc w:val="center"/>
        </w:trPr>
        <w:tc>
          <w:tcPr>
            <w:tcW w:w="4253" w:type="dxa"/>
            <w:tcBorders>
              <w:right w:val="nil"/>
            </w:tcBorders>
            <w:shd w:val="clear" w:color="auto" w:fill="EFD3D2"/>
            <w:vAlign w:val="center"/>
          </w:tcPr>
          <w:p w:rsidR="00A86EC8" w:rsidRPr="00F64639" w:rsidRDefault="00A86EC8" w:rsidP="002F783E">
            <w:pPr>
              <w:jc w:val="center"/>
              <w:rPr>
                <w:rFonts w:ascii="Arial" w:hAnsi="Arial" w:cs="Arial"/>
                <w:b/>
                <w:bCs/>
                <w:sz w:val="16"/>
                <w:szCs w:val="16"/>
              </w:rPr>
            </w:pPr>
            <w:r w:rsidRPr="00F64639">
              <w:rPr>
                <w:rFonts w:ascii="Arial" w:hAnsi="Arial" w:cs="Arial"/>
                <w:b/>
                <w:bCs/>
                <w:sz w:val="16"/>
                <w:szCs w:val="16"/>
              </w:rPr>
              <w:t>Összesen</w:t>
            </w:r>
          </w:p>
        </w:tc>
        <w:tc>
          <w:tcPr>
            <w:tcW w:w="1275" w:type="dxa"/>
            <w:tcBorders>
              <w:left w:val="nil"/>
              <w:right w:val="nil"/>
            </w:tcBorders>
            <w:shd w:val="clear" w:color="auto" w:fill="EFD3D2"/>
            <w:vAlign w:val="center"/>
          </w:tcPr>
          <w:p w:rsidR="00A86EC8" w:rsidRPr="00F64639" w:rsidRDefault="00A86EC8" w:rsidP="002F783E">
            <w:pPr>
              <w:jc w:val="center"/>
              <w:rPr>
                <w:rFonts w:ascii="Arial" w:hAnsi="Arial" w:cs="Arial"/>
                <w:b/>
                <w:sz w:val="16"/>
                <w:szCs w:val="16"/>
              </w:rPr>
            </w:pPr>
            <w:r w:rsidRPr="00F64639">
              <w:rPr>
                <w:rFonts w:ascii="Arial" w:hAnsi="Arial" w:cs="Arial"/>
                <w:b/>
                <w:sz w:val="16"/>
                <w:szCs w:val="16"/>
              </w:rPr>
              <w:t xml:space="preserve"> 4 835</w:t>
            </w:r>
          </w:p>
        </w:tc>
        <w:tc>
          <w:tcPr>
            <w:tcW w:w="1134" w:type="dxa"/>
            <w:tcBorders>
              <w:left w:val="nil"/>
              <w:right w:val="nil"/>
            </w:tcBorders>
            <w:shd w:val="clear" w:color="auto" w:fill="EFD3D2"/>
            <w:vAlign w:val="center"/>
          </w:tcPr>
          <w:p w:rsidR="00A86EC8" w:rsidRPr="00F64639" w:rsidRDefault="00A86EC8" w:rsidP="002F783E">
            <w:pPr>
              <w:jc w:val="center"/>
              <w:rPr>
                <w:rFonts w:ascii="Arial" w:hAnsi="Arial" w:cs="Arial"/>
                <w:b/>
                <w:sz w:val="16"/>
                <w:szCs w:val="16"/>
              </w:rPr>
            </w:pPr>
            <w:r w:rsidRPr="00F64639">
              <w:rPr>
                <w:rFonts w:ascii="Arial" w:hAnsi="Arial" w:cs="Arial"/>
                <w:b/>
                <w:sz w:val="16"/>
                <w:szCs w:val="16"/>
              </w:rPr>
              <w:t xml:space="preserve"> 29 179</w:t>
            </w:r>
          </w:p>
        </w:tc>
        <w:tc>
          <w:tcPr>
            <w:tcW w:w="1331" w:type="dxa"/>
            <w:tcBorders>
              <w:left w:val="nil"/>
            </w:tcBorders>
            <w:shd w:val="clear" w:color="auto" w:fill="EFD3D2"/>
            <w:vAlign w:val="center"/>
          </w:tcPr>
          <w:p w:rsidR="00A86EC8" w:rsidRPr="00F64639" w:rsidRDefault="00A86EC8" w:rsidP="002F783E">
            <w:pPr>
              <w:jc w:val="center"/>
              <w:rPr>
                <w:rFonts w:ascii="Arial" w:hAnsi="Arial" w:cs="Arial"/>
                <w:b/>
                <w:sz w:val="16"/>
                <w:szCs w:val="16"/>
              </w:rPr>
            </w:pPr>
            <w:r w:rsidRPr="00F64639">
              <w:rPr>
                <w:rFonts w:ascii="Arial" w:hAnsi="Arial" w:cs="Arial"/>
                <w:b/>
                <w:sz w:val="16"/>
                <w:szCs w:val="16"/>
              </w:rPr>
              <w:t xml:space="preserve"> 34 014</w:t>
            </w:r>
          </w:p>
        </w:tc>
      </w:tr>
    </w:tbl>
    <w:p w:rsidR="00A86EC8" w:rsidRPr="00F64639" w:rsidRDefault="00075A29" w:rsidP="00A86EC8">
      <w:pPr>
        <w:pStyle w:val="Caption"/>
        <w:spacing w:before="60" w:after="120" w:line="280" w:lineRule="atLeast"/>
        <w:jc w:val="center"/>
        <w:rPr>
          <w:color w:val="auto"/>
        </w:rPr>
      </w:pPr>
      <w:r w:rsidRPr="00F64639">
        <w:rPr>
          <w:color w:val="auto"/>
        </w:rPr>
        <w:fldChar w:fldCharType="begin"/>
      </w:r>
      <w:r w:rsidR="00A86EC8" w:rsidRPr="00F64639">
        <w:rPr>
          <w:color w:val="auto"/>
        </w:rPr>
        <w:instrText xml:space="preserve"> SEQ táblázat \* ARABIC </w:instrText>
      </w:r>
      <w:r w:rsidRPr="00F64639">
        <w:rPr>
          <w:color w:val="auto"/>
        </w:rPr>
        <w:fldChar w:fldCharType="separate"/>
      </w:r>
      <w:r w:rsidR="00E30745" w:rsidRPr="00F64639">
        <w:rPr>
          <w:noProof/>
          <w:color w:val="auto"/>
        </w:rPr>
        <w:t>16</w:t>
      </w:r>
      <w:r w:rsidRPr="00F64639">
        <w:rPr>
          <w:color w:val="auto"/>
        </w:rPr>
        <w:fldChar w:fldCharType="end"/>
      </w:r>
      <w:r w:rsidR="00A86EC8" w:rsidRPr="00F64639">
        <w:rPr>
          <w:color w:val="auto"/>
        </w:rPr>
        <w:t xml:space="preserve">. táblázat: A beszerzett gépek megoszlása kategória és korszerűségi mutató szerint </w:t>
      </w:r>
    </w:p>
    <w:p w:rsidR="00A86EC8" w:rsidRPr="00F64639" w:rsidRDefault="00A86EC8" w:rsidP="00A86EC8">
      <w:pPr>
        <w:jc w:val="both"/>
      </w:pPr>
      <w:r w:rsidRPr="00F64639">
        <w:t>Az önálló gép, technológiai berendezések beszerzése jogcím keretében igényelt gépek korszerűségi mutatóit vizsgálva megállapítható, hogy összességében 85,8 %-</w:t>
      </w:r>
      <w:proofErr w:type="gramStart"/>
      <w:r w:rsidRPr="00F64639">
        <w:t>a</w:t>
      </w:r>
      <w:proofErr w:type="gramEnd"/>
      <w:r w:rsidRPr="00F64639">
        <w:t xml:space="preserve"> egyes mutatóval rendelkezik és csupán 14,2%-a  nullással. (Említést érdemel, hogy a korszerűségi mutató megállapítását a szakértők rendkívül összetett vizsgálat során állapították meg, és a nullás mutatóval ellátott gépek</w:t>
      </w:r>
      <w:r w:rsidR="00A66526" w:rsidRPr="00F64639">
        <w:t xml:space="preserve"> </w:t>
      </w:r>
      <w:r w:rsidRPr="00F64639">
        <w:t>is korszerűek, hiszen a Gépkatalógu</w:t>
      </w:r>
      <w:r w:rsidRPr="00F64639">
        <w:t>s</w:t>
      </w:r>
      <w:r w:rsidRPr="00F64639">
        <w:t>ba való bekerülés feltétele különböző EU-s és hazai előírásoknak való megfelelés.)</w:t>
      </w:r>
    </w:p>
    <w:p w:rsidR="00C53354" w:rsidRPr="00F64639" w:rsidRDefault="00C53354" w:rsidP="00C53354">
      <w:pPr>
        <w:pStyle w:val="HUNNormal"/>
        <w:tabs>
          <w:tab w:val="left" w:pos="709"/>
        </w:tabs>
      </w:pPr>
      <w:r w:rsidRPr="00F64639">
        <w:t xml:space="preserve">A kérelmek elbírálásának </w:t>
      </w:r>
      <w:r w:rsidRPr="00F64639">
        <w:rPr>
          <w:b/>
        </w:rPr>
        <w:t>átfutási ideje</w:t>
      </w:r>
      <w:r w:rsidRPr="00F64639">
        <w:t xml:space="preserve"> az ÚMVP átlagához képest kiemelkedően rövid: a támogatási kére</w:t>
      </w:r>
      <w:r w:rsidRPr="00F64639">
        <w:t>l</w:t>
      </w:r>
      <w:r w:rsidRPr="00F64639">
        <w:t xml:space="preserve">mek elbírálásának átlagos átfutási ideje 75 naptári nap, míg a kifizetési kérelmeké átlagosan 82 naptári </w:t>
      </w:r>
      <w:r w:rsidRPr="00F64639">
        <w:lastRenderedPageBreak/>
        <w:t xml:space="preserve">nap. A támogatási kérelmek átfutási idejéből 65 naptári nap az </w:t>
      </w:r>
      <w:proofErr w:type="spellStart"/>
      <w:r w:rsidRPr="00F64639">
        <w:t>MVH-t</w:t>
      </w:r>
      <w:proofErr w:type="spellEnd"/>
      <w:r w:rsidRPr="00F64639">
        <w:t>, 4 az Irányító Hatóságot, míg 4 naptári nap az ügyfelet „terhel</w:t>
      </w:r>
      <w:proofErr w:type="gramStart"/>
      <w:r w:rsidRPr="00F64639">
        <w:t>”</w:t>
      </w:r>
      <w:r w:rsidRPr="00F64639">
        <w:rPr>
          <w:rStyle w:val="FootnoteReference"/>
        </w:rPr>
        <w:footnoteReference w:id="56"/>
      </w:r>
      <w:r w:rsidRPr="00F64639">
        <w:t>.</w:t>
      </w:r>
      <w:proofErr w:type="gramEnd"/>
    </w:p>
    <w:p w:rsidR="0073375E" w:rsidRPr="00F64639" w:rsidRDefault="000658BD" w:rsidP="00E60698">
      <w:pPr>
        <w:pStyle w:val="HUNHeading4"/>
        <w:ind w:left="993" w:hanging="993"/>
      </w:pPr>
      <w:bookmarkStart w:id="9" w:name="_Ref279009315"/>
      <w:r w:rsidRPr="00F64639">
        <w:t>A technológia</w:t>
      </w:r>
      <w:r w:rsidR="00572076" w:rsidRPr="00F64639">
        <w:t>-</w:t>
      </w:r>
      <w:r w:rsidRPr="00F64639">
        <w:t xml:space="preserve">korszerűsítési jogcímek relevancia, </w:t>
      </w:r>
      <w:r w:rsidR="0073375E" w:rsidRPr="00F64639">
        <w:t>hatás</w:t>
      </w:r>
      <w:r w:rsidR="00CB3007" w:rsidRPr="00F64639">
        <w:t xml:space="preserve"> és hatékonyság</w:t>
      </w:r>
      <w:r w:rsidR="0073375E" w:rsidRPr="00F64639">
        <w:t>vizsgál</w:t>
      </w:r>
      <w:r w:rsidR="0073375E" w:rsidRPr="00F64639">
        <w:t>a</w:t>
      </w:r>
      <w:r w:rsidR="0073375E" w:rsidRPr="00F64639">
        <w:t>ta</w:t>
      </w:r>
      <w:bookmarkEnd w:id="9"/>
    </w:p>
    <w:p w:rsidR="000658BD" w:rsidRPr="00F64639" w:rsidRDefault="000658BD" w:rsidP="00CB3007">
      <w:pPr>
        <w:autoSpaceDE w:val="0"/>
        <w:autoSpaceDN w:val="0"/>
        <w:adjustRightInd w:val="0"/>
        <w:jc w:val="both"/>
        <w:rPr>
          <w:b/>
        </w:rPr>
      </w:pPr>
      <w:r w:rsidRPr="00F64639">
        <w:rPr>
          <w:b/>
        </w:rPr>
        <w:t>Relevancia vizsgálat</w:t>
      </w:r>
    </w:p>
    <w:p w:rsidR="00976F1A" w:rsidRPr="00F64639" w:rsidRDefault="00976F1A" w:rsidP="000658BD">
      <w:pPr>
        <w:jc w:val="both"/>
      </w:pPr>
      <w:r w:rsidRPr="00F64639">
        <w:t xml:space="preserve">Az öt jogcím mindegyike relevánsnak tekinthető a technológiai korszerűsítési, illetve a versenyképességi célok tekintetében. </w:t>
      </w:r>
    </w:p>
    <w:p w:rsidR="000658BD" w:rsidRPr="00F64639" w:rsidRDefault="00075A29" w:rsidP="00F0262D">
      <w:pPr>
        <w:ind w:left="426"/>
        <w:jc w:val="both"/>
      </w:pPr>
      <w:r w:rsidRPr="00075A29">
        <w:t xml:space="preserve">A </w:t>
      </w:r>
      <w:r w:rsidR="00F0262D" w:rsidRPr="00F64639">
        <w:rPr>
          <w:b/>
          <w:i/>
        </w:rPr>
        <w:t xml:space="preserve">Kertészeti gépek, technológiai berendezések beszerzése és a Kertészeti üzemek korszerűsítése </w:t>
      </w:r>
      <w:r w:rsidR="00F0262D" w:rsidRPr="00F64639">
        <w:rPr>
          <w:b/>
        </w:rPr>
        <w:t>jo</w:t>
      </w:r>
      <w:r w:rsidR="00F0262D" w:rsidRPr="00F64639">
        <w:rPr>
          <w:b/>
        </w:rPr>
        <w:t>g</w:t>
      </w:r>
      <w:r w:rsidR="00F0262D" w:rsidRPr="00F64639">
        <w:rPr>
          <w:b/>
        </w:rPr>
        <w:t>címek</w:t>
      </w:r>
      <w:r w:rsidR="00F0262D" w:rsidRPr="00F64639">
        <w:t xml:space="preserve"> relevánsnak tekinthetőek még a foglalkoztatás bővítésének célja szempontjából is. A támogatott kertészeti üzemek száma a jelenlegi státusz (2142 támogatott gazdaság) szerint nem éri el az intézk</w:t>
      </w:r>
      <w:r w:rsidR="00F0262D" w:rsidRPr="00F64639">
        <w:t>e</w:t>
      </w:r>
      <w:r w:rsidR="00F0262D" w:rsidRPr="00F64639">
        <w:t>désben meghatározott output indikátor értéket (3400 támogatott gazdaság).</w:t>
      </w:r>
    </w:p>
    <w:p w:rsidR="00F0262D" w:rsidRPr="00F64639" w:rsidRDefault="00F0262D" w:rsidP="005844A8">
      <w:pPr>
        <w:ind w:left="851"/>
        <w:jc w:val="both"/>
      </w:pPr>
      <w:r w:rsidRPr="00F64639">
        <w:t>Megállapítható,</w:t>
      </w:r>
      <w:r w:rsidR="005844A8" w:rsidRPr="00F64639">
        <w:t xml:space="preserve"> hogy ezeket a</w:t>
      </w:r>
      <w:r w:rsidRPr="00F64639">
        <w:t xml:space="preserve"> jogcímeket a gazdálkodók részéről nagy érdeklődés kísérte, azo</w:t>
      </w:r>
      <w:r w:rsidRPr="00F64639">
        <w:t>n</w:t>
      </w:r>
      <w:r w:rsidRPr="00F64639">
        <w:t>ban lebonyolítása problémái és a válság hatása (tőkehiány) miatt az előzetes érdeklődéshez k</w:t>
      </w:r>
      <w:r w:rsidRPr="00F64639">
        <w:t>é</w:t>
      </w:r>
      <w:r w:rsidRPr="00F64639">
        <w:t xml:space="preserve">pest a ténylegesen leadott kérelmek száma és a fejlesztések volumene lényegesen elmaradt a szakmai várakozásoktól. </w:t>
      </w:r>
    </w:p>
    <w:p w:rsidR="00F0262D" w:rsidRPr="00F64639" w:rsidRDefault="00F0262D" w:rsidP="005844A8">
      <w:pPr>
        <w:ind w:left="851"/>
        <w:jc w:val="both"/>
      </w:pPr>
      <w:r w:rsidRPr="00F64639">
        <w:t xml:space="preserve">A piaci kényszer és az ország adottságai indokolják mintegy 3.500 hektáros fedett </w:t>
      </w:r>
      <w:r w:rsidR="005844A8" w:rsidRPr="00F64639">
        <w:t xml:space="preserve">kertészeti </w:t>
      </w:r>
      <w:r w:rsidRPr="00F64639">
        <w:t>technikai területet korszerűsítését és jelentős bővítését. Ezek főleg a paprika, paradicsom, korai káposztafélék, salátafélék, retek, korai burgonya, korai gyökérzöldségek, gomba és szamóca ku</w:t>
      </w:r>
      <w:r w:rsidRPr="00F64639">
        <w:t>l</w:t>
      </w:r>
      <w:r w:rsidRPr="00F64639">
        <w:t>túrákat érintik. A növényházi termelés Magyarországon főleg a hideg hajtatásra épül, szezonja á</w:t>
      </w:r>
      <w:r w:rsidRPr="00F64639">
        <w:t>p</w:t>
      </w:r>
      <w:r w:rsidRPr="00F64639">
        <w:t xml:space="preserve">rilistól októberig tart. </w:t>
      </w:r>
      <w:r w:rsidR="007A2A6B" w:rsidRPr="00F64639">
        <w:t>A Magyarországon könnye</w:t>
      </w:r>
      <w:r w:rsidR="005844A8" w:rsidRPr="00F64639">
        <w:t>n</w:t>
      </w:r>
      <w:r w:rsidR="007A2A6B" w:rsidRPr="00F64639">
        <w:t xml:space="preserve"> feltárható termálvizek hőenergiája szintén jó fe</w:t>
      </w:r>
      <w:r w:rsidR="007A2A6B" w:rsidRPr="00F64639">
        <w:t>j</w:t>
      </w:r>
      <w:r w:rsidR="007A2A6B" w:rsidRPr="00F64639">
        <w:t>lesztési alapot kínál, továbbá a kertészetet magas munkaintenzitása is kiemeli a növénytermes</w:t>
      </w:r>
      <w:r w:rsidR="007A2A6B" w:rsidRPr="00F64639">
        <w:t>z</w:t>
      </w:r>
      <w:r w:rsidR="007A2A6B" w:rsidRPr="00F64639">
        <w:t>tési ágazatból</w:t>
      </w:r>
      <w:r w:rsidR="00A12046" w:rsidRPr="00F64639">
        <w:t>,</w:t>
      </w:r>
      <w:r w:rsidR="007A2A6B" w:rsidRPr="00F64639">
        <w:t xml:space="preserve"> </w:t>
      </w:r>
      <w:r w:rsidR="00A12046" w:rsidRPr="00F64639">
        <w:t>e</w:t>
      </w:r>
      <w:r w:rsidR="007A2A6B" w:rsidRPr="00F64639">
        <w:t>zek fényében a támogatott gazdaságok számának alulteljesítése különösen sajn</w:t>
      </w:r>
      <w:r w:rsidR="007A2A6B" w:rsidRPr="00F64639">
        <w:t>á</w:t>
      </w:r>
      <w:r w:rsidR="007A2A6B" w:rsidRPr="00F64639">
        <w:t>latos</w:t>
      </w:r>
      <w:r w:rsidRPr="00F64639">
        <w:t>.</w:t>
      </w:r>
    </w:p>
    <w:p w:rsidR="00F0262D" w:rsidRPr="00F64639" w:rsidRDefault="00CD7CAF" w:rsidP="00F0262D">
      <w:pPr>
        <w:ind w:left="426"/>
        <w:jc w:val="both"/>
      </w:pPr>
      <w:r>
        <w:rPr>
          <w:b/>
          <w:i/>
        </w:rPr>
        <w:t xml:space="preserve">A </w:t>
      </w:r>
      <w:r w:rsidR="00F0262D" w:rsidRPr="00F64639">
        <w:rPr>
          <w:b/>
          <w:i/>
        </w:rPr>
        <w:t>Növénytermesztés létesítményeinek korszerűsítése, Önálló, építéssel nem járó gépek, technológiai berendezések beszerzése</w:t>
      </w:r>
      <w:r w:rsidR="00F0262D" w:rsidRPr="00F64639">
        <w:t xml:space="preserve"> jogcímek várható hatásuk fényében nem relevánsak a </w:t>
      </w:r>
      <w:r w:rsidR="005844A8" w:rsidRPr="00F64639">
        <w:t>Program a társadalmi feszültségek csökkentését kitűző célja szempontjából, mert várhatóan létszámleépítés lesz az ára a versenyképesség növelésének.</w:t>
      </w:r>
      <w:r w:rsidR="00F0262D" w:rsidRPr="00F64639">
        <w:t xml:space="preserve"> Ezzel szemben itt jelentős túlteljesítés várható az output indikátor é</w:t>
      </w:r>
      <w:r w:rsidR="00F0262D" w:rsidRPr="00F64639">
        <w:t>r</w:t>
      </w:r>
      <w:r w:rsidR="00F0262D" w:rsidRPr="00F64639">
        <w:t xml:space="preserve">tékben. A célérték: 4200 támogatott </w:t>
      </w:r>
      <w:r w:rsidR="005844A8" w:rsidRPr="00F64639">
        <w:t xml:space="preserve">szántóföldi </w:t>
      </w:r>
      <w:r w:rsidR="00F0262D" w:rsidRPr="00F64639">
        <w:t>gazdaság, a jóváhagyó határozatok alapján a valós é</w:t>
      </w:r>
      <w:r w:rsidR="00F0262D" w:rsidRPr="00F64639">
        <w:t>r</w:t>
      </w:r>
      <w:r w:rsidR="00F0262D" w:rsidRPr="00F64639">
        <w:t xml:space="preserve">ték </w:t>
      </w:r>
      <w:r w:rsidR="005844A8" w:rsidRPr="00F64639">
        <w:t>6444</w:t>
      </w:r>
      <w:r w:rsidR="005844A8" w:rsidRPr="00F64639">
        <w:rPr>
          <w:rStyle w:val="FootnoteReference"/>
        </w:rPr>
        <w:footnoteReference w:id="57"/>
      </w:r>
      <w:r w:rsidR="00F0262D" w:rsidRPr="00F64639">
        <w:t>db.</w:t>
      </w:r>
    </w:p>
    <w:p w:rsidR="000658BD" w:rsidRPr="00F64639" w:rsidRDefault="000658BD" w:rsidP="005844A8">
      <w:pPr>
        <w:ind w:left="851"/>
        <w:jc w:val="both"/>
      </w:pPr>
      <w:r w:rsidRPr="00F64639">
        <w:t xml:space="preserve">A szántóföldi növénytermesztés </w:t>
      </w:r>
      <w:proofErr w:type="spellStart"/>
      <w:r w:rsidRPr="00F64639">
        <w:t>post-harvest</w:t>
      </w:r>
      <w:proofErr w:type="spellEnd"/>
      <w:r w:rsidRPr="00F64639">
        <w:t xml:space="preserve"> berendezései jelentős részben korszerűtlen, magas energiafogyasztású és kedv</w:t>
      </w:r>
      <w:r w:rsidR="007A2A6B" w:rsidRPr="00F64639">
        <w:t>ezőtlen környezeti kibocsátású eszközökből</w:t>
      </w:r>
      <w:r w:rsidRPr="00F64639">
        <w:t xml:space="preserve"> áll</w:t>
      </w:r>
      <w:r w:rsidR="00CD7CAF">
        <w:t>t</w:t>
      </w:r>
      <w:r w:rsidRPr="00F64639">
        <w:t>ak. A még üzemképes elavult nyílt légcsatornás konstrukciójú, közel 30 éves Bábolna B1-15 terményszárítók aránya a jogcím megnyitása előtt országosan elérte a 40%-ot is. A korszerűtlen berendezések teljes r</w:t>
      </w:r>
      <w:r w:rsidRPr="00F64639">
        <w:t>e</w:t>
      </w:r>
      <w:r w:rsidRPr="00F64639">
        <w:t xml:space="preserve">konstrukciójával, lecserélésével csökkenthető a por- és zajkibocsátás, az energiafogyasztás akár 30%-kal, valamint a termények kíméletesebben kezelhetőek, ami jobb minőséget eredményez (kevesebb </w:t>
      </w:r>
      <w:proofErr w:type="spellStart"/>
      <w:r w:rsidRPr="00F64639">
        <w:t>hősérült</w:t>
      </w:r>
      <w:proofErr w:type="spellEnd"/>
      <w:r w:rsidRPr="00F64639">
        <w:t xml:space="preserve"> és törtszem). </w:t>
      </w:r>
      <w:r w:rsidR="005844A8" w:rsidRPr="00F64639">
        <w:t xml:space="preserve">Ennek megfelelően a </w:t>
      </w:r>
      <w:r w:rsidR="005844A8" w:rsidRPr="00F64639">
        <w:rPr>
          <w:b/>
          <w:i/>
        </w:rPr>
        <w:t>n</w:t>
      </w:r>
      <w:r w:rsidR="007A2A6B" w:rsidRPr="00F64639">
        <w:rPr>
          <w:b/>
          <w:i/>
        </w:rPr>
        <w:t>övénytermesztés létesítményeinek ko</w:t>
      </w:r>
      <w:r w:rsidR="007A2A6B" w:rsidRPr="00F64639">
        <w:rPr>
          <w:b/>
          <w:i/>
        </w:rPr>
        <w:t>r</w:t>
      </w:r>
      <w:r w:rsidR="007A2A6B" w:rsidRPr="00F64639">
        <w:rPr>
          <w:b/>
          <w:i/>
        </w:rPr>
        <w:t>szerűsítése</w:t>
      </w:r>
      <w:r w:rsidR="007A2A6B" w:rsidRPr="00F64639">
        <w:t xml:space="preserve"> </w:t>
      </w:r>
      <w:r w:rsidRPr="00F64639">
        <w:t xml:space="preserve">jogcím iránt nagyfokú érdeklődés volt tapasztalható. </w:t>
      </w:r>
      <w:r w:rsidR="007A2A6B" w:rsidRPr="00F64639">
        <w:t>Az igényeket tovább növelte, hogy a korszerűtlen berendezéseket a</w:t>
      </w:r>
      <w:r w:rsidRPr="00F64639">
        <w:t xml:space="preserve"> bezárás fenyegette, mivel azok nem feleltek meg a környezetv</w:t>
      </w:r>
      <w:r w:rsidRPr="00F64639">
        <w:t>é</w:t>
      </w:r>
      <w:r w:rsidRPr="00F64639">
        <w:lastRenderedPageBreak/>
        <w:t>delmi irányel</w:t>
      </w:r>
      <w:r w:rsidR="007A2A6B" w:rsidRPr="00F64639">
        <w:t>veknek. További igényt generált, hogy</w:t>
      </w:r>
      <w:r w:rsidRPr="00F64639">
        <w:t xml:space="preserve"> sokan ebből a</w:t>
      </w:r>
      <w:r w:rsidR="007A2A6B" w:rsidRPr="00F64639">
        <w:t xml:space="preserve"> jogcímből</w:t>
      </w:r>
      <w:r w:rsidRPr="00F64639">
        <w:t xml:space="preserve"> további tároló kapac</w:t>
      </w:r>
      <w:r w:rsidRPr="00F64639">
        <w:t>i</w:t>
      </w:r>
      <w:r w:rsidRPr="00F64639">
        <w:t>tásokat szerettek volna építeni, főként családi gazdálkodók. Az utóbbi kérelmezői körnek csal</w:t>
      </w:r>
      <w:r w:rsidRPr="00F64639">
        <w:t>ó</w:t>
      </w:r>
      <w:r w:rsidRPr="00F64639">
        <w:t>dást okozott, hogy a források szűkössége miatt csak a raktárak felújítása és a működéshez szü</w:t>
      </w:r>
      <w:r w:rsidRPr="00F64639">
        <w:t>k</w:t>
      </w:r>
      <w:r w:rsidRPr="00F64639">
        <w:t>séges tranzittárolók építése volt támogatható</w:t>
      </w:r>
      <w:r w:rsidR="007A2A6B" w:rsidRPr="00F64639">
        <w:t>.</w:t>
      </w:r>
    </w:p>
    <w:p w:rsidR="0062215C" w:rsidRPr="00F64639" w:rsidRDefault="0062215C" w:rsidP="0062215C">
      <w:pPr>
        <w:ind w:left="851"/>
        <w:jc w:val="both"/>
      </w:pPr>
      <w:r w:rsidRPr="00F64639">
        <w:rPr>
          <w:i/>
        </w:rPr>
        <w:t xml:space="preserve">Az </w:t>
      </w:r>
      <w:r w:rsidRPr="00F64639">
        <w:rPr>
          <w:b/>
          <w:i/>
        </w:rPr>
        <w:t>Önálló, építéssel nem járó gépek, technológiai berendezések beszerzése</w:t>
      </w:r>
      <w:r w:rsidRPr="00F64639">
        <w:rPr>
          <w:b/>
        </w:rPr>
        <w:t xml:space="preserve"> jogcímre</w:t>
      </w:r>
      <w:r w:rsidRPr="00F64639">
        <w:t xml:space="preserve"> benyújtott kérelemszám, és az elnyert támogatások gyors lehívása is azt jelzi, hogy a technológiai korszerűs</w:t>
      </w:r>
      <w:r w:rsidRPr="00F64639">
        <w:t>í</w:t>
      </w:r>
      <w:r w:rsidRPr="00F64639">
        <w:t>tés iránt még mindig nagy az igény a magyar agrárvállalkozások között. Már a 2000. és 2003. évek között nemzeti hatáskörben és a SAPARD Program keretében működött hasonló géptámog</w:t>
      </w:r>
      <w:r w:rsidRPr="00F64639">
        <w:t>a</w:t>
      </w:r>
      <w:r w:rsidRPr="00F64639">
        <w:t>tási konstrukció, évenkénti meghirdetéssel. A csatlakozás évében, 2004-ben indult az Agrár- V</w:t>
      </w:r>
      <w:r w:rsidRPr="00F64639">
        <w:t>i</w:t>
      </w:r>
      <w:r w:rsidRPr="00F64639">
        <w:t>dékfejlesztési Operatív Program (AVOP), amely szintén tartalmazott ilyen konstrukciót „</w:t>
      </w:r>
      <w:proofErr w:type="gramStart"/>
      <w:r w:rsidRPr="00F64639">
        <w:t>A</w:t>
      </w:r>
      <w:proofErr w:type="gramEnd"/>
      <w:r w:rsidRPr="00F64639">
        <w:t xml:space="preserve"> mezőga</w:t>
      </w:r>
      <w:r w:rsidRPr="00F64639">
        <w:t>z</w:t>
      </w:r>
      <w:r w:rsidRPr="00F64639">
        <w:t>dasági gépvásárlások, technológiai berendezések beszerzésének támogatása” néven. Ezzel a l</w:t>
      </w:r>
      <w:r w:rsidRPr="00F64639">
        <w:t>e</w:t>
      </w:r>
      <w:r w:rsidRPr="00F64639">
        <w:t>hetőséggel ezen időszakban tömegesen kívántak is élni a termelők. Ezt főként a korábbiakhoz k</w:t>
      </w:r>
      <w:r w:rsidRPr="00F64639">
        <w:t>é</w:t>
      </w:r>
      <w:r w:rsidRPr="00F64639">
        <w:t>pest rendkívül magas mértékben – nem nemzeti kezdeményezés-, hanem közösségi akarat ere</w:t>
      </w:r>
      <w:r w:rsidRPr="00F64639">
        <w:t>d</w:t>
      </w:r>
      <w:r w:rsidRPr="00F64639">
        <w:t xml:space="preserve">ményeként – megállapított 40%-os támogatási intenzitás okozta. </w:t>
      </w:r>
      <w:r w:rsidR="00A12046" w:rsidRPr="00F64639">
        <w:t>Az a</w:t>
      </w:r>
      <w:r w:rsidRPr="00F64639">
        <w:t>kkor</w:t>
      </w:r>
      <w:r w:rsidR="00A12046" w:rsidRPr="00F64639">
        <w:t>i</w:t>
      </w:r>
      <w:r w:rsidRPr="00F64639">
        <w:t xml:space="preserve"> pályázatok beadás</w:t>
      </w:r>
      <w:r w:rsidRPr="00F64639">
        <w:t>á</w:t>
      </w:r>
      <w:r w:rsidRPr="00F64639">
        <w:t>nak lehetőségét az indítástól számítva 3 hónap múlva le kellett állítani a források kimerülése m</w:t>
      </w:r>
      <w:r w:rsidRPr="00F64639">
        <w:t>i</w:t>
      </w:r>
      <w:r w:rsidRPr="00F64639">
        <w:t>att. Ez az intézkedés kihatással volt az ÚMVP 2007. évi indulására azzal, hogy a rendkívül kedvező korábbi konstrukciót visszavárva a gazdálkodók három éven keresztül szüneteltették gépbesze</w:t>
      </w:r>
      <w:r w:rsidRPr="00F64639">
        <w:t>r</w:t>
      </w:r>
      <w:r w:rsidRPr="00F64639">
        <w:t>zéseiket és ezért a jogcím megnyitásakor rendkívüli támogatási igény jelentkezett.</w:t>
      </w:r>
    </w:p>
    <w:p w:rsidR="0062215C" w:rsidRPr="00F64639" w:rsidRDefault="0062215C" w:rsidP="0062215C">
      <w:pPr>
        <w:ind w:left="426"/>
        <w:jc w:val="both"/>
      </w:pPr>
      <w:r w:rsidRPr="00F64639">
        <w:rPr>
          <w:b/>
          <w:i/>
        </w:rPr>
        <w:t xml:space="preserve">A Mezőgazdasági energiafelhasználás megújuló erőforrásokból történő előállítása </w:t>
      </w:r>
      <w:r w:rsidRPr="00F64639">
        <w:t>jogcím egyaránt r</w:t>
      </w:r>
      <w:r w:rsidRPr="00F64639">
        <w:t>e</w:t>
      </w:r>
      <w:r w:rsidRPr="00F64639">
        <w:t>leváns a versenyképességi és a környezetvédelmi célok szempontjából is. Ugyanakkor a biomassza b</w:t>
      </w:r>
      <w:r w:rsidRPr="00F64639">
        <w:t>e</w:t>
      </w:r>
      <w:r w:rsidRPr="00F64639">
        <w:t xml:space="preserve">ruházásokkal támogatott gazdaságok számára az </w:t>
      </w:r>
      <w:proofErr w:type="spellStart"/>
      <w:r w:rsidRPr="00F64639">
        <w:t>ÚMVP-ben</w:t>
      </w:r>
      <w:proofErr w:type="spellEnd"/>
      <w:r w:rsidRPr="00F64639">
        <w:t xml:space="preserve"> kitűzött </w:t>
      </w:r>
      <w:r w:rsidR="005677AB" w:rsidRPr="00F64639">
        <w:t>indikátor eléréséhez (8100 ga</w:t>
      </w:r>
      <w:r w:rsidR="005677AB" w:rsidRPr="00F64639">
        <w:t>z</w:t>
      </w:r>
      <w:r w:rsidR="005677AB" w:rsidRPr="00F64639">
        <w:t>daság) ez a jogcím</w:t>
      </w:r>
      <w:r w:rsidRPr="00F64639">
        <w:t xml:space="preserve"> </w:t>
      </w:r>
      <w:r w:rsidR="005677AB" w:rsidRPr="00F64639">
        <w:t xml:space="preserve">alig, </w:t>
      </w:r>
      <w:r w:rsidRPr="00F64639">
        <w:t xml:space="preserve">öt </w:t>
      </w:r>
      <w:r w:rsidR="005677AB" w:rsidRPr="00F64639">
        <w:t>támogatott gazdasággal járult hozzá, ami az eddigi érdeklődés alacsony szintje miatt a jövőben várhatóan nem is fog változni</w:t>
      </w:r>
      <w:r w:rsidRPr="00F64639">
        <w:t>.</w:t>
      </w:r>
    </w:p>
    <w:p w:rsidR="000658BD" w:rsidRPr="00F64639" w:rsidRDefault="000658BD" w:rsidP="005844A8">
      <w:pPr>
        <w:ind w:left="851"/>
        <w:jc w:val="both"/>
      </w:pPr>
      <w:r w:rsidRPr="00F64639">
        <w:t>A biomassza energetikai alkalmazása a mezőgazdaság területén egyrészről hozzájárulhat az o</w:t>
      </w:r>
      <w:r w:rsidRPr="00F64639">
        <w:t>r</w:t>
      </w:r>
      <w:r w:rsidRPr="00F64639">
        <w:t>szágos energiapolitikai célkitűzések teljesítéséhez, (a felhasznált energián belül a megújuló ene</w:t>
      </w:r>
      <w:r w:rsidRPr="00F64639">
        <w:t>r</w:t>
      </w:r>
      <w:r w:rsidRPr="00F64639">
        <w:t>gia arányának növeléséhez) másrészről mivel az alapanyag a mezőgazdasági üzemekben, vidéki térségekben önköltségi, vagy kedvezőbb áron elérhető, ezért csökkenthetőek az energiaköltségek, növelhető a versenyképesség. Ezáltal a mezőgazdasági tevékenységek energiaellátásának bi</w:t>
      </w:r>
      <w:r w:rsidRPr="00F64639">
        <w:t>o</w:t>
      </w:r>
      <w:r w:rsidRPr="00F64639">
        <w:t>massza forrásból történő biztosításával a mezőgazdasági üzem korszerűbbé és gazdaságossá vá</w:t>
      </w:r>
      <w:r w:rsidRPr="00F64639">
        <w:t>l</w:t>
      </w:r>
      <w:r w:rsidRPr="00F64639">
        <w:t>hat.</w:t>
      </w:r>
      <w:r w:rsidR="0062215C" w:rsidRPr="00F64639">
        <w:t xml:space="preserve"> Ennek fényében különösen kedvezőtlen a jelentkező gazdaságok </w:t>
      </w:r>
      <w:r w:rsidR="005677AB" w:rsidRPr="00F64639">
        <w:t>számának alacsony mért</w:t>
      </w:r>
      <w:r w:rsidR="005677AB" w:rsidRPr="00F64639">
        <w:t>é</w:t>
      </w:r>
      <w:r w:rsidR="005677AB" w:rsidRPr="00F64639">
        <w:t>ke. A kevés kérelem oka az vélhetően részben az információhiány, részben pedig a támogatási fe</w:t>
      </w:r>
      <w:r w:rsidR="005677AB" w:rsidRPr="00F64639">
        <w:t>l</w:t>
      </w:r>
      <w:r w:rsidR="005677AB" w:rsidRPr="00F64639">
        <w:t>tételek megfogalmazása volt.</w:t>
      </w:r>
    </w:p>
    <w:p w:rsidR="00CB3007" w:rsidRPr="00F64639" w:rsidRDefault="00201F4F" w:rsidP="00CB3007">
      <w:pPr>
        <w:autoSpaceDE w:val="0"/>
        <w:autoSpaceDN w:val="0"/>
        <w:adjustRightInd w:val="0"/>
        <w:jc w:val="both"/>
        <w:rPr>
          <w:b/>
        </w:rPr>
      </w:pPr>
      <w:r w:rsidRPr="00F64639">
        <w:rPr>
          <w:b/>
        </w:rPr>
        <w:t>Hatásvizsgálat</w:t>
      </w:r>
    </w:p>
    <w:p w:rsidR="0073375E" w:rsidRPr="00F64639" w:rsidRDefault="0073375E" w:rsidP="0090637B">
      <w:pPr>
        <w:autoSpaceDE w:val="0"/>
        <w:autoSpaceDN w:val="0"/>
        <w:adjustRightInd w:val="0"/>
        <w:jc w:val="both"/>
      </w:pPr>
      <w:r w:rsidRPr="00F64639">
        <w:t>A</w:t>
      </w:r>
      <w:r w:rsidR="005677AB" w:rsidRPr="00F64639">
        <w:t xml:space="preserve"> vizsgált öt</w:t>
      </w:r>
      <w:r w:rsidRPr="00F64639">
        <w:t xml:space="preserve"> jogcím</w:t>
      </w:r>
      <w:r w:rsidR="005677AB" w:rsidRPr="00F64639">
        <w:t xml:space="preserve"> mindegyike a technológiai korszerűsítést</w:t>
      </w:r>
      <w:r w:rsidRPr="00F64639">
        <w:t xml:space="preserve"> tűzt</w:t>
      </w:r>
      <w:r w:rsidR="005677AB" w:rsidRPr="00F64639">
        <w:t>e</w:t>
      </w:r>
      <w:r w:rsidRPr="00F64639">
        <w:t xml:space="preserve"> ki </w:t>
      </w:r>
      <w:r w:rsidR="00CB3007" w:rsidRPr="00F64639">
        <w:t xml:space="preserve">elsődleges </w:t>
      </w:r>
      <w:r w:rsidRPr="00F64639">
        <w:t>eredményként. A legfont</w:t>
      </w:r>
      <w:r w:rsidRPr="00F64639">
        <w:t>o</w:t>
      </w:r>
      <w:r w:rsidRPr="00F64639">
        <w:t>sabb elvárt hatást a „kazáncsere” jogcím kivételével a versenyképesség növelése volt. Ezt mindegyik jo</w:t>
      </w:r>
      <w:r w:rsidRPr="00F64639">
        <w:t>g</w:t>
      </w:r>
      <w:r w:rsidRPr="00F64639">
        <w:t>címnél kiegészítette még az energiatakarékosság és ezen keresztül a káros anyagok kibocsátásának csö</w:t>
      </w:r>
      <w:r w:rsidRPr="00F64639">
        <w:t>k</w:t>
      </w:r>
      <w:r w:rsidRPr="00F64639">
        <w:t>kentése.</w:t>
      </w:r>
    </w:p>
    <w:p w:rsidR="00885F82" w:rsidRPr="00F64639" w:rsidRDefault="00885F82" w:rsidP="0090637B">
      <w:pPr>
        <w:autoSpaceDE w:val="0"/>
        <w:autoSpaceDN w:val="0"/>
        <w:adjustRightInd w:val="0"/>
        <w:jc w:val="both"/>
      </w:pPr>
      <w:r w:rsidRPr="00F64639">
        <w:t>Az „öntözés” jogcímet a 125-ős intézkedésnél értékeljük, a „kazáncsere” jogcím értékelésétől pedig elteki</w:t>
      </w:r>
      <w:r w:rsidRPr="00F64639">
        <w:t>n</w:t>
      </w:r>
      <w:r w:rsidRPr="00F64639">
        <w:t xml:space="preserve">tünk, mivel a kis volumen miatt hatásai </w:t>
      </w:r>
      <w:r w:rsidR="00D10C76" w:rsidRPr="00F64639">
        <w:t>még</w:t>
      </w:r>
      <w:r w:rsidRPr="00F64639">
        <w:t xml:space="preserve"> nem reprezentatívak.</w:t>
      </w:r>
    </w:p>
    <w:p w:rsidR="00C81DE0" w:rsidRPr="00F64639" w:rsidRDefault="00B91420" w:rsidP="0090637B">
      <w:pPr>
        <w:autoSpaceDE w:val="0"/>
        <w:autoSpaceDN w:val="0"/>
        <w:adjustRightInd w:val="0"/>
        <w:jc w:val="both"/>
      </w:pPr>
      <w:r w:rsidRPr="00F64639">
        <w:t xml:space="preserve">A technológiai korszerűsítési célok elérése </w:t>
      </w:r>
      <w:r w:rsidR="00A12046" w:rsidRPr="00F64639">
        <w:t xml:space="preserve">- </w:t>
      </w:r>
      <w:proofErr w:type="gramStart"/>
      <w:r w:rsidR="00A12046" w:rsidRPr="00F64639">
        <w:t>ezen</w:t>
      </w:r>
      <w:proofErr w:type="gramEnd"/>
      <w:r w:rsidR="00A12046" w:rsidRPr="00F64639">
        <w:t xml:space="preserve"> célok keretében - </w:t>
      </w:r>
      <w:r w:rsidRPr="00F64639">
        <w:t>sikerült, hiszen több ezer korszerű gé</w:t>
      </w:r>
      <w:r w:rsidRPr="00F64639">
        <w:t>p</w:t>
      </w:r>
      <w:r w:rsidRPr="00F64639">
        <w:t>pel</w:t>
      </w:r>
      <w:r w:rsidR="00CB3007" w:rsidRPr="00F64639">
        <w:t>, eszközzel</w:t>
      </w:r>
      <w:r w:rsidRPr="00F64639">
        <w:t xml:space="preserve"> lett gazdagabb a magyar mezőgazdaság.</w:t>
      </w:r>
    </w:p>
    <w:p w:rsidR="00B91420" w:rsidRPr="00F64639" w:rsidRDefault="00B91420" w:rsidP="0090637B">
      <w:pPr>
        <w:autoSpaceDE w:val="0"/>
        <w:autoSpaceDN w:val="0"/>
        <w:adjustRightInd w:val="0"/>
        <w:jc w:val="both"/>
      </w:pPr>
      <w:r w:rsidRPr="00F64639">
        <w:lastRenderedPageBreak/>
        <w:t>A versenyképesség változását leggyakrabban az értékesítés nettó árbevételében, vagy a jövedelmezőség terén tapasztalt változással közelítik a vizsgálatokban, azt feltételezve, hogy a beruházás hatására az ért</w:t>
      </w:r>
      <w:r w:rsidRPr="00F64639">
        <w:t>é</w:t>
      </w:r>
      <w:r w:rsidRPr="00F64639">
        <w:t>kesítési lehetőségek bővültek és/vagy a költségek csökkentek.</w:t>
      </w:r>
    </w:p>
    <w:p w:rsidR="00CB3007" w:rsidRPr="00F64639" w:rsidRDefault="00CB3007" w:rsidP="0090637B">
      <w:pPr>
        <w:autoSpaceDE w:val="0"/>
        <w:autoSpaceDN w:val="0"/>
        <w:adjustRightInd w:val="0"/>
        <w:jc w:val="both"/>
      </w:pPr>
      <w:r w:rsidRPr="00F64639">
        <w:t xml:space="preserve">Mivel a monitoring adatbázisból nem </w:t>
      </w:r>
      <w:r w:rsidR="00E038E7">
        <w:t>volt lehetőség</w:t>
      </w:r>
      <w:r w:rsidRPr="00F64639">
        <w:t xml:space="preserve"> a támogatottak gazdasági eredményire vonatkozó v</w:t>
      </w:r>
      <w:r w:rsidRPr="00F64639">
        <w:t>a</w:t>
      </w:r>
      <w:r w:rsidRPr="00F64639">
        <w:t>lós gazdasági adatokat kinyer</w:t>
      </w:r>
      <w:r w:rsidR="00E038E7">
        <w:t>ésére egyelőre</w:t>
      </w:r>
      <w:r w:rsidRPr="00F64639">
        <w:t>, ezért más utat kellett választanunk. Az Agrárgazdasági Kutató Int</w:t>
      </w:r>
      <w:r w:rsidRPr="00F64639">
        <w:t>é</w:t>
      </w:r>
      <w:r w:rsidRPr="00F64639">
        <w:t>zet (AKI) FADN (tesztüzemi) adatbázisához fordultunk, amit a 2 EUME feletti üzemméretű mezőgazdasági vállalkozások tekint</w:t>
      </w:r>
      <w:r w:rsidRPr="00F64639">
        <w:t>e</w:t>
      </w:r>
      <w:r w:rsidRPr="00F64639">
        <w:t xml:space="preserve">tében </w:t>
      </w:r>
      <w:proofErr w:type="gramStart"/>
      <w:r w:rsidRPr="00F64639">
        <w:t>az</w:t>
      </w:r>
      <w:proofErr w:type="gramEnd"/>
      <w:r w:rsidRPr="00F64639">
        <w:t xml:space="preserve"> AKI reprezentatívnak tekint. Mivel a támogatásoknál belépési feltétel volt a 4 EUME méret, ezért a tesztüzemi adatbázist megfelelő alapnak tekintettük a vizsgálatokhoz.</w:t>
      </w:r>
    </w:p>
    <w:p w:rsidR="00ED2308" w:rsidRPr="00F64639" w:rsidRDefault="00ED2308" w:rsidP="00ED2308">
      <w:pPr>
        <w:autoSpaceDE w:val="0"/>
        <w:autoSpaceDN w:val="0"/>
        <w:adjustRightInd w:val="0"/>
        <w:jc w:val="both"/>
      </w:pPr>
      <w:r w:rsidRPr="00F64639">
        <w:t>A tesztüzemi adatbázis 2006 és 2009 közötti anonim adatait használtuk fel a vizsgálatunkban. Az adatb</w:t>
      </w:r>
      <w:r w:rsidRPr="00F64639">
        <w:t>á</w:t>
      </w:r>
      <w:r w:rsidRPr="00F64639">
        <w:t>zist megszűrve kiegyensúlyozott panelt (</w:t>
      </w:r>
      <w:proofErr w:type="spellStart"/>
      <w:r w:rsidRPr="00F64639">
        <w:rPr>
          <w:i/>
        </w:rPr>
        <w:t>balanced</w:t>
      </w:r>
      <w:proofErr w:type="spellEnd"/>
      <w:r w:rsidRPr="00F64639">
        <w:rPr>
          <w:i/>
        </w:rPr>
        <w:t xml:space="preserve"> panel</w:t>
      </w:r>
      <w:r w:rsidRPr="00F64639">
        <w:t>) hoztunk létre. Ez jelen esetben a minta hozzávet</w:t>
      </w:r>
      <w:r w:rsidRPr="00F64639">
        <w:t>ő</w:t>
      </w:r>
      <w:r w:rsidRPr="00F64639">
        <w:t xml:space="preserve">leg 1950 üzeméből 1490-re történő szűkítésével volt elérhető. Ezek azok az üzemek, amelyeknek adatai mind a négy vizsgált évben rendelkezésre állnak. Ezt a mintát </w:t>
      </w:r>
      <w:proofErr w:type="gramStart"/>
      <w:r w:rsidRPr="00F64639">
        <w:t>az</w:t>
      </w:r>
      <w:proofErr w:type="gramEnd"/>
      <w:r w:rsidRPr="00F64639">
        <w:t xml:space="preserve"> AKI súlyozási szisztémája alapján továbbra is reprezentatívnak tekinthetjük, amennyiben arra a 90 ezer árutermelő üzemre összpontosítunk az agrár</w:t>
      </w:r>
      <w:r w:rsidRPr="00F64639">
        <w:t>i</w:t>
      </w:r>
      <w:r w:rsidRPr="00F64639">
        <w:t>umban, melyek az AKI koncepciója szerint valós hozzáadott értékkel hozzájárulnak az ország GDP-jéhez.</w:t>
      </w:r>
    </w:p>
    <w:p w:rsidR="00ED2308" w:rsidRPr="00F64639" w:rsidRDefault="00ED2308" w:rsidP="00ED2308">
      <w:pPr>
        <w:jc w:val="both"/>
      </w:pPr>
      <w:r w:rsidRPr="00F64639">
        <w:t xml:space="preserve">Ezt a kiegyensúlyozott panelt többféle </w:t>
      </w:r>
      <w:proofErr w:type="spellStart"/>
      <w:r w:rsidRPr="00F64639">
        <w:t>ökonometriai</w:t>
      </w:r>
      <w:proofErr w:type="spellEnd"/>
      <w:r w:rsidRPr="00F64639">
        <w:t xml:space="preserve"> elemzéssel is vizsgáltuk, több magyarázó változót is alkalmazva. Az elemzés módszertani hátterét részletesen az 2.2. kötetben mutatjuk be, itt csak az elemezés eredményét mutatjuk be.</w:t>
      </w:r>
    </w:p>
    <w:p w:rsidR="00ED2308" w:rsidRPr="00F64639" w:rsidRDefault="00121A30" w:rsidP="00ED2308">
      <w:pPr>
        <w:jc w:val="both"/>
      </w:pPr>
      <w:r w:rsidRPr="00F64639">
        <w:t>Fontos megjeg</w:t>
      </w:r>
      <w:r w:rsidR="008221F9" w:rsidRPr="00F64639">
        <w:t>yezni a vizsgálat kapcsán, néhány korlátozó feltételt:</w:t>
      </w:r>
    </w:p>
    <w:p w:rsidR="008221F9" w:rsidRPr="00F64639" w:rsidRDefault="008221F9" w:rsidP="008221F9">
      <w:pPr>
        <w:pStyle w:val="ListParagraph"/>
        <w:numPr>
          <w:ilvl w:val="0"/>
          <w:numId w:val="34"/>
        </w:numPr>
        <w:jc w:val="both"/>
      </w:pPr>
      <w:proofErr w:type="gramStart"/>
      <w:r w:rsidRPr="00F64639">
        <w:t>az</w:t>
      </w:r>
      <w:proofErr w:type="gramEnd"/>
      <w:r w:rsidRPr="00F64639">
        <w:t xml:space="preserve"> AKI adatbázis anonimitása miatt nem tudtuk az egyes jogcímeket elkülöníteni egymástól, így a hatást</w:t>
      </w:r>
      <w:r w:rsidR="00885F82" w:rsidRPr="00F64639">
        <w:t xml:space="preserve"> csak</w:t>
      </w:r>
      <w:r w:rsidRPr="00F64639">
        <w:t xml:space="preserve"> a beruházási jogcímekre </w:t>
      </w:r>
      <w:r w:rsidR="00885F82" w:rsidRPr="00F64639">
        <w:t xml:space="preserve">összegezve </w:t>
      </w:r>
      <w:r w:rsidRPr="00F64639">
        <w:t>tudjuk csak mérni;</w:t>
      </w:r>
    </w:p>
    <w:p w:rsidR="008221F9" w:rsidRPr="00F64639" w:rsidRDefault="008221F9" w:rsidP="008221F9">
      <w:pPr>
        <w:pStyle w:val="ListParagraph"/>
        <w:numPr>
          <w:ilvl w:val="0"/>
          <w:numId w:val="34"/>
        </w:numPr>
        <w:jc w:val="both"/>
      </w:pPr>
      <w:r w:rsidRPr="00F64639">
        <w:t xml:space="preserve">a beruházások hatása jellemzően legalább két évvel a beruházás befejezése után jelentkezik. </w:t>
      </w:r>
      <w:proofErr w:type="gramStart"/>
      <w:r w:rsidRPr="00F64639">
        <w:t>A</w:t>
      </w:r>
      <w:proofErr w:type="gramEnd"/>
      <w:r w:rsidRPr="00F64639">
        <w:t xml:space="preserve"> fé</w:t>
      </w:r>
      <w:r w:rsidRPr="00F64639">
        <w:t>l</w:t>
      </w:r>
      <w:r w:rsidRPr="00F64639">
        <w:t>idei értékelés keretében ehhez még nem telt el elegendő idő (az első beruházások 2008-ban záru</w:t>
      </w:r>
      <w:r w:rsidRPr="00F64639">
        <w:t>l</w:t>
      </w:r>
      <w:r w:rsidRPr="00F64639">
        <w:t>tak le)</w:t>
      </w:r>
      <w:r w:rsidR="00D10C76" w:rsidRPr="00F64639">
        <w:t>, ezért az eredmények csak előzetes, előrejelző adatként értelmezhetőek. A vizsgálatok me</w:t>
      </w:r>
      <w:r w:rsidR="00D10C76" w:rsidRPr="00F64639">
        <w:t>g</w:t>
      </w:r>
      <w:r w:rsidR="00D10C76" w:rsidRPr="00F64639">
        <w:t>ismétlése szükséges a következő években.</w:t>
      </w:r>
    </w:p>
    <w:p w:rsidR="008221F9" w:rsidRPr="00F64639" w:rsidRDefault="008221F9" w:rsidP="0090637B">
      <w:pPr>
        <w:autoSpaceDE w:val="0"/>
        <w:autoSpaceDN w:val="0"/>
        <w:adjustRightInd w:val="0"/>
        <w:jc w:val="both"/>
        <w:rPr>
          <w:b/>
        </w:rPr>
      </w:pPr>
      <w:r w:rsidRPr="00F64639">
        <w:t>Az egyik vizsgálatban a nettó hozzáadott értéket vizsgáltuk több módszerrel. Azért ezt a mutatót választo</w:t>
      </w:r>
      <w:r w:rsidRPr="00F64639">
        <w:t>t</w:t>
      </w:r>
      <w:r w:rsidRPr="00F64639">
        <w:t xml:space="preserve">tuk, mert ezt kevésbé torzítja az adóelkerülés és ezzel a magánszemélyek és a társas vállalkozások is együtt kezelhetőek. Több modellt is kipróbáltunk. A legtöbb modellünkben az egy időszakkal megelőző beruházási támogatások gazdasági hatása még nem mutatható ki. Az egyik erősebb magyarázóerejű modellünk szerint még enyhén csökkenti is a beruházás átlagosan az üzemek nettó hozzáadott értékét. Egy másik erős </w:t>
      </w:r>
      <w:r w:rsidRPr="00F64639">
        <w:rPr>
          <w:b/>
        </w:rPr>
        <w:t>spec</w:t>
      </w:r>
      <w:r w:rsidRPr="00F64639">
        <w:rPr>
          <w:b/>
        </w:rPr>
        <w:t>i</w:t>
      </w:r>
      <w:r w:rsidRPr="00F64639">
        <w:rPr>
          <w:b/>
        </w:rPr>
        <w:t>fikáció enyhén pozitív hatást mutat ki a nettó hozzáadott értékre nézve, ez legfeljebb 130 forint nettó ho</w:t>
      </w:r>
      <w:r w:rsidRPr="00F64639">
        <w:rPr>
          <w:b/>
        </w:rPr>
        <w:t>z</w:t>
      </w:r>
      <w:r w:rsidRPr="00F64639">
        <w:rPr>
          <w:b/>
        </w:rPr>
        <w:t xml:space="preserve">záadott érték többletet mutat 1000 </w:t>
      </w:r>
      <w:proofErr w:type="gramStart"/>
      <w:r w:rsidRPr="00F64639">
        <w:rPr>
          <w:b/>
        </w:rPr>
        <w:t>forint támogatási</w:t>
      </w:r>
      <w:proofErr w:type="gramEnd"/>
      <w:r w:rsidRPr="00F64639">
        <w:rPr>
          <w:b/>
        </w:rPr>
        <w:t xml:space="preserve"> összegenként átlagosan, minden más változatlans</w:t>
      </w:r>
      <w:r w:rsidRPr="00F64639">
        <w:rPr>
          <w:b/>
        </w:rPr>
        <w:t>á</w:t>
      </w:r>
      <w:r w:rsidRPr="00F64639">
        <w:rPr>
          <w:b/>
        </w:rPr>
        <w:t>gát feltételezve.</w:t>
      </w:r>
    </w:p>
    <w:p w:rsidR="008221F9" w:rsidRPr="00F64639" w:rsidRDefault="008221F9" w:rsidP="0090637B">
      <w:pPr>
        <w:autoSpaceDE w:val="0"/>
        <w:autoSpaceDN w:val="0"/>
        <w:adjustRightInd w:val="0"/>
        <w:jc w:val="both"/>
      </w:pPr>
      <w:r w:rsidRPr="00F64639">
        <w:t>Hipotéziseink alapján ez utóbbi modell eredményét fogadjuk el, ismételten felhívva</w:t>
      </w:r>
      <w:r w:rsidR="00D10C76" w:rsidRPr="00F64639">
        <w:t xml:space="preserve"> a figyelmet</w:t>
      </w:r>
      <w:r w:rsidRPr="00F64639">
        <w:t xml:space="preserve"> az óvatos interpretáció szükségességére, hiszen a beruházások </w:t>
      </w:r>
      <w:proofErr w:type="gramStart"/>
      <w:r w:rsidRPr="00F64639">
        <w:t>lezárulta óta</w:t>
      </w:r>
      <w:proofErr w:type="gramEnd"/>
      <w:r w:rsidRPr="00F64639">
        <w:t xml:space="preserve"> eltelt rövid idő miatt a modellek egy része nem is szignifikáns, másik része is csak gyenge </w:t>
      </w:r>
      <w:proofErr w:type="spellStart"/>
      <w:r w:rsidRPr="00F64639">
        <w:t>szignifikancia</w:t>
      </w:r>
      <w:proofErr w:type="spellEnd"/>
      <w:r w:rsidRPr="00F64639">
        <w:t xml:space="preserve"> szintet mutat.</w:t>
      </w:r>
    </w:p>
    <w:p w:rsidR="00201F4F" w:rsidRPr="00F64639" w:rsidRDefault="00201F4F" w:rsidP="008221F9">
      <w:pPr>
        <w:pStyle w:val="HUNNormal"/>
      </w:pPr>
      <w:r w:rsidRPr="00F64639">
        <w:t>A jövedelmezőség vizsgálata mellett fontos még a munkahelyteremtő/megőrző hatás vizsgálata.</w:t>
      </w:r>
    </w:p>
    <w:p w:rsidR="008221F9" w:rsidRPr="00F64639" w:rsidRDefault="008221F9" w:rsidP="008221F9">
      <w:pPr>
        <w:pStyle w:val="HUNNormal"/>
      </w:pPr>
      <w:r w:rsidRPr="00F64639">
        <w:t xml:space="preserve">Ugyanezekben a modellekben vizsgáltuk </w:t>
      </w:r>
      <w:r w:rsidR="00201F4F" w:rsidRPr="00F64639">
        <w:t xml:space="preserve">ezért </w:t>
      </w:r>
      <w:r w:rsidRPr="00F64639">
        <w:t xml:space="preserve">a </w:t>
      </w:r>
      <w:r w:rsidR="00CB4BF1" w:rsidRPr="00F64639">
        <w:t>munkaerő felhasználás</w:t>
      </w:r>
      <w:r w:rsidRPr="00F64639">
        <w:t xml:space="preserve"> változását is. A foglalkoztatásra (munkakapacitás) és termelékenységre nézve a modellek még nehezebben eldönthető álláspontot muta</w:t>
      </w:r>
      <w:r w:rsidRPr="00F64639">
        <w:t>t</w:t>
      </w:r>
      <w:r w:rsidRPr="00F64639">
        <w:t xml:space="preserve">nak. </w:t>
      </w:r>
      <w:r w:rsidRPr="00F64639">
        <w:rPr>
          <w:b/>
        </w:rPr>
        <w:t>A munkakapacitásra vonatkozó modellek</w:t>
      </w:r>
      <w:r w:rsidRPr="00F64639">
        <w:t xml:space="preserve"> közül az </w:t>
      </w:r>
      <w:proofErr w:type="spellStart"/>
      <w:r w:rsidRPr="00F64639">
        <w:t>autoregresszív</w:t>
      </w:r>
      <w:proofErr w:type="spellEnd"/>
      <w:r w:rsidRPr="00F64639">
        <w:t xml:space="preserve"> taggal rendelkezőket tekintjük</w:t>
      </w:r>
      <w:r w:rsidR="00885F82" w:rsidRPr="00F64639">
        <w:t xml:space="preserve"> elf</w:t>
      </w:r>
      <w:r w:rsidR="00885F82" w:rsidRPr="00F64639">
        <w:t>o</w:t>
      </w:r>
      <w:r w:rsidR="00885F82" w:rsidRPr="00F64639">
        <w:t>gadhatónak</w:t>
      </w:r>
      <w:r w:rsidRPr="00F64639">
        <w:t xml:space="preserve">, mivel a többi modellünkben az elsőrendű </w:t>
      </w:r>
      <w:proofErr w:type="spellStart"/>
      <w:r w:rsidRPr="00F64639">
        <w:t>reziduális</w:t>
      </w:r>
      <w:proofErr w:type="spellEnd"/>
      <w:r w:rsidRPr="00F64639">
        <w:t xml:space="preserve"> </w:t>
      </w:r>
      <w:proofErr w:type="spellStart"/>
      <w:r w:rsidRPr="00F64639">
        <w:t>autokorreláció</w:t>
      </w:r>
      <w:proofErr w:type="spellEnd"/>
      <w:r w:rsidRPr="00F64639">
        <w:t xml:space="preserve"> jelenléte szignifikánsnak volt mondható. Ezek viszont sajnos </w:t>
      </w:r>
      <w:r w:rsidRPr="00F64639">
        <w:rPr>
          <w:b/>
        </w:rPr>
        <w:t>egymásnak ellentmondó előjelet tulajdonítanak a munkakapacitásra gyakorolt előző időszaki beruházási hatásoknak.</w:t>
      </w:r>
      <w:r w:rsidR="00201F4F" w:rsidRPr="00F64639">
        <w:rPr>
          <w:b/>
        </w:rPr>
        <w:t xml:space="preserve"> E tekintetben mérhető hatást tehát még nem lehet kim</w:t>
      </w:r>
      <w:r w:rsidR="00201F4F" w:rsidRPr="00F64639">
        <w:rPr>
          <w:b/>
        </w:rPr>
        <w:t>u</w:t>
      </w:r>
      <w:r w:rsidR="00201F4F" w:rsidRPr="00F64639">
        <w:rPr>
          <w:b/>
        </w:rPr>
        <w:t>tatni.</w:t>
      </w:r>
    </w:p>
    <w:p w:rsidR="008221F9" w:rsidRPr="00F64639" w:rsidRDefault="008221F9" w:rsidP="00201F4F">
      <w:pPr>
        <w:pStyle w:val="HUNNormal"/>
        <w:rPr>
          <w:b/>
        </w:rPr>
      </w:pPr>
      <w:r w:rsidRPr="00F64639">
        <w:rPr>
          <w:b/>
        </w:rPr>
        <w:lastRenderedPageBreak/>
        <w:t xml:space="preserve">Termelékenységre nézve </w:t>
      </w:r>
      <w:r w:rsidR="00201F4F" w:rsidRPr="00F64639">
        <w:rPr>
          <w:b/>
        </w:rPr>
        <w:t>csak az egyik</w:t>
      </w:r>
      <w:r w:rsidRPr="00F64639">
        <w:rPr>
          <w:b/>
        </w:rPr>
        <w:t xml:space="preserve"> modellünk a mérvadó, ahol enyhe pozitív hatást tapasztaltunk a b</w:t>
      </w:r>
      <w:r w:rsidRPr="00F64639">
        <w:rPr>
          <w:b/>
        </w:rPr>
        <w:t>e</w:t>
      </w:r>
      <w:r w:rsidRPr="00F64639">
        <w:rPr>
          <w:b/>
        </w:rPr>
        <w:t>ruházási támogatásoknak köszönhetően.</w:t>
      </w:r>
    </w:p>
    <w:p w:rsidR="00ED2308" w:rsidRPr="00F64639" w:rsidRDefault="00201F4F" w:rsidP="0090637B">
      <w:pPr>
        <w:autoSpaceDE w:val="0"/>
        <w:autoSpaceDN w:val="0"/>
        <w:adjustRightInd w:val="0"/>
        <w:jc w:val="both"/>
      </w:pPr>
      <w:r w:rsidRPr="00F64639">
        <w:rPr>
          <w:b/>
        </w:rPr>
        <w:t>A környezeti hatások tekintetében nem állnak rendelkezésre adatok,</w:t>
      </w:r>
      <w:r w:rsidR="00E038E7">
        <w:rPr>
          <w:b/>
        </w:rPr>
        <w:t xml:space="preserve"> mert azokat csak egy hosszabb időt átfogó </w:t>
      </w:r>
      <w:proofErr w:type="spellStart"/>
      <w:r w:rsidR="00E038E7">
        <w:rPr>
          <w:b/>
        </w:rPr>
        <w:t>hatásmonitoring</w:t>
      </w:r>
      <w:proofErr w:type="spellEnd"/>
      <w:r w:rsidR="00E038E7">
        <w:rPr>
          <w:b/>
        </w:rPr>
        <w:t xml:space="preserve"> tudná előállítani. E</w:t>
      </w:r>
      <w:r w:rsidRPr="00F64639">
        <w:rPr>
          <w:b/>
        </w:rPr>
        <w:t>zért valós hatásokat nem tudtunk mérni.</w:t>
      </w:r>
      <w:r w:rsidRPr="00F64639">
        <w:t xml:space="preserve"> A beszerzett gépek nyi</w:t>
      </w:r>
      <w:r w:rsidRPr="00F64639">
        <w:t>l</w:t>
      </w:r>
      <w:r w:rsidRPr="00F64639">
        <w:t>vánvalóan csökkentették a fajlagos energiafogyasztást, de mivel a lecserélt gépek energetikai paramét</w:t>
      </w:r>
      <w:r w:rsidRPr="00F64639">
        <w:t>e</w:t>
      </w:r>
      <w:r w:rsidRPr="00F64639">
        <w:t>rei nem ismertek, továbbá az új gépek kihasználtsága, illetve a régiek sorsa sem, ezért még becsléseket sem lehetett a környezeti hatásról kész</w:t>
      </w:r>
      <w:r w:rsidRPr="00F64639">
        <w:t>í</w:t>
      </w:r>
      <w:r w:rsidRPr="00F64639">
        <w:t>teni.</w:t>
      </w:r>
    </w:p>
    <w:p w:rsidR="00A76E35" w:rsidRPr="00F64639" w:rsidRDefault="00201F4F" w:rsidP="00A76E35">
      <w:pPr>
        <w:pStyle w:val="HUNNormal"/>
        <w:tabs>
          <w:tab w:val="left" w:pos="709"/>
        </w:tabs>
      </w:pPr>
      <w:r w:rsidRPr="00F64639">
        <w:t>Az adathiány feloldása érdekében</w:t>
      </w:r>
      <w:r w:rsidR="000D3BA6" w:rsidRPr="00F64639">
        <w:t xml:space="preserve"> a</w:t>
      </w:r>
      <w:r w:rsidR="00A76E35" w:rsidRPr="00F64639">
        <w:t xml:space="preserve"> Mezőgazdasági Szakigazgatási Hivatal közreműködésével, 2010.09.22-én </w:t>
      </w:r>
      <w:r w:rsidR="000D3BA6" w:rsidRPr="00F64639">
        <w:t>lebonyolított</w:t>
      </w:r>
      <w:r w:rsidR="00A76E35" w:rsidRPr="00F64639">
        <w:t xml:space="preserve"> falugazdász fókuszcsoporto</w:t>
      </w:r>
      <w:r w:rsidR="000D3BA6" w:rsidRPr="00F64639">
        <w:t xml:space="preserve">n gyűjtöttünk további </w:t>
      </w:r>
      <w:r w:rsidRPr="00F64639">
        <w:t>kvalitatív információkat</w:t>
      </w:r>
      <w:r w:rsidR="000D3BA6" w:rsidRPr="00F64639">
        <w:t>.</w:t>
      </w:r>
      <w:r w:rsidR="00A76E35" w:rsidRPr="00F64639">
        <w:t xml:space="preserve"> </w:t>
      </w:r>
      <w:r w:rsidR="000D3BA6" w:rsidRPr="00F64639">
        <w:t>A rendezvény rel</w:t>
      </w:r>
      <w:r w:rsidR="000D3BA6" w:rsidRPr="00F64639">
        <w:t>e</w:t>
      </w:r>
      <w:r w:rsidR="000D3BA6" w:rsidRPr="00F64639">
        <w:t>váns megállapításai a következőek voltak</w:t>
      </w:r>
      <w:r w:rsidR="00A76E35" w:rsidRPr="00F64639">
        <w:t>:</w:t>
      </w:r>
    </w:p>
    <w:p w:rsidR="00A76E35" w:rsidRPr="00F64639" w:rsidRDefault="000D3BA6" w:rsidP="00DF4BBF">
      <w:pPr>
        <w:pStyle w:val="ListParagraph"/>
        <w:numPr>
          <w:ilvl w:val="0"/>
          <w:numId w:val="19"/>
        </w:numPr>
        <w:autoSpaceDE w:val="0"/>
        <w:autoSpaceDN w:val="0"/>
        <w:adjustRightInd w:val="0"/>
        <w:jc w:val="both"/>
      </w:pPr>
      <w:r w:rsidRPr="00F64639">
        <w:t xml:space="preserve">a </w:t>
      </w:r>
      <w:r w:rsidR="00A76E35" w:rsidRPr="00F64639">
        <w:t>támogatás intenzitása miatt elsősorban a nagy üzemeknek volt elérhető</w:t>
      </w:r>
      <w:r w:rsidRPr="00F64639">
        <w:t xml:space="preserve"> a jogcím</w:t>
      </w:r>
      <w:r w:rsidR="00A76E35" w:rsidRPr="00F64639">
        <w:t>, mivel a jelentős önrészt a kisvállalkozások</w:t>
      </w:r>
      <w:r w:rsidRPr="00F64639">
        <w:t xml:space="preserve"> nehezebben tudják előteremteni;</w:t>
      </w:r>
    </w:p>
    <w:p w:rsidR="000D3BA6" w:rsidRPr="00F64639" w:rsidRDefault="000D3BA6" w:rsidP="00A76E35">
      <w:pPr>
        <w:pStyle w:val="ListParagraph"/>
        <w:numPr>
          <w:ilvl w:val="0"/>
          <w:numId w:val="19"/>
        </w:numPr>
        <w:tabs>
          <w:tab w:val="left" w:pos="709"/>
        </w:tabs>
        <w:autoSpaceDE w:val="0"/>
        <w:autoSpaceDN w:val="0"/>
        <w:adjustRightInd w:val="0"/>
        <w:jc w:val="both"/>
      </w:pPr>
      <w:r w:rsidRPr="00F64639">
        <w:t>a</w:t>
      </w:r>
      <w:r w:rsidR="00A76E35" w:rsidRPr="00F64639">
        <w:t>z új gépek kihasználtsága magas, kétszer annyi üzemórával működnek, mint a régiek, ebben a bérmun</w:t>
      </w:r>
      <w:r w:rsidR="00CB4BF1" w:rsidRPr="00F64639">
        <w:t>ka aránya nagy szerepet játszik;</w:t>
      </w:r>
    </w:p>
    <w:p w:rsidR="00A76E35" w:rsidRPr="00F64639" w:rsidRDefault="000D3BA6" w:rsidP="00A76E35">
      <w:pPr>
        <w:pStyle w:val="ListParagraph"/>
        <w:numPr>
          <w:ilvl w:val="0"/>
          <w:numId w:val="19"/>
        </w:numPr>
        <w:tabs>
          <w:tab w:val="left" w:pos="709"/>
        </w:tabs>
        <w:autoSpaceDE w:val="0"/>
        <w:autoSpaceDN w:val="0"/>
        <w:adjustRightInd w:val="0"/>
        <w:jc w:val="both"/>
      </w:pPr>
      <w:r w:rsidRPr="00F64639">
        <w:t>a</w:t>
      </w:r>
      <w:r w:rsidR="00A76E35" w:rsidRPr="00F64639">
        <w:t xml:space="preserve"> nagyüzemek inkább megtartották a régi gépeiket, </w:t>
      </w:r>
      <w:r w:rsidR="00EC6A22" w:rsidRPr="00F64639">
        <w:t>de</w:t>
      </w:r>
      <w:r w:rsidR="00A76E35" w:rsidRPr="00F64639">
        <w:t xml:space="preserve"> előfordult azok értékesítése is</w:t>
      </w:r>
      <w:r w:rsidR="00EC6A22" w:rsidRPr="00F64639">
        <w:t xml:space="preserve">. A </w:t>
      </w:r>
      <w:r w:rsidR="00A76E35" w:rsidRPr="00F64639">
        <w:t>nem túl öreg gépek</w:t>
      </w:r>
      <w:r w:rsidR="00EC6A22" w:rsidRPr="00F64639">
        <w:t xml:space="preserve">et kisebb gazdaságok vásárolták meg használtan, így </w:t>
      </w:r>
      <w:r w:rsidRPr="00F64639">
        <w:t xml:space="preserve">tovagyűrűző hatásként </w:t>
      </w:r>
      <w:proofErr w:type="gramStart"/>
      <w:r w:rsidR="00EC6A22" w:rsidRPr="00F64639">
        <w:t>ezen</w:t>
      </w:r>
      <w:proofErr w:type="gramEnd"/>
      <w:r w:rsidR="00EC6A22" w:rsidRPr="00F64639">
        <w:t xml:space="preserve"> ga</w:t>
      </w:r>
      <w:r w:rsidR="00EC6A22" w:rsidRPr="00F64639">
        <w:t>z</w:t>
      </w:r>
      <w:r w:rsidR="00EC6A22" w:rsidRPr="00F64639">
        <w:t>daságok technológiai színvonala is javult (legalábbis saját korábbi szintjükhöz képest)</w:t>
      </w:r>
      <w:r w:rsidR="00A962EB" w:rsidRPr="00F64639">
        <w:t>.</w:t>
      </w:r>
    </w:p>
    <w:p w:rsidR="00381049" w:rsidRPr="00F64639" w:rsidRDefault="00381049" w:rsidP="00381049">
      <w:pPr>
        <w:pStyle w:val="HUNNormal"/>
        <w:tabs>
          <w:tab w:val="left" w:pos="709"/>
        </w:tabs>
      </w:pPr>
      <w:r w:rsidRPr="00F64639">
        <w:t>A fentiek alapján sajnos pontos környezeti hatásbecslést nem lehet végezni, ehhez a kapacitáskihasználts</w:t>
      </w:r>
      <w:r w:rsidRPr="00F64639">
        <w:t>á</w:t>
      </w:r>
      <w:r w:rsidRPr="00F64639">
        <w:t>got és a régi gépek sorsá</w:t>
      </w:r>
      <w:r w:rsidR="00CB4BF1" w:rsidRPr="00F64639">
        <w:t>t is pontosan ismerni kellene.</w:t>
      </w:r>
    </w:p>
    <w:p w:rsidR="005677AB" w:rsidRPr="00F64639" w:rsidRDefault="005677AB" w:rsidP="0090637B">
      <w:pPr>
        <w:autoSpaceDE w:val="0"/>
        <w:autoSpaceDN w:val="0"/>
        <w:adjustRightInd w:val="0"/>
        <w:jc w:val="both"/>
        <w:rPr>
          <w:b/>
        </w:rPr>
      </w:pPr>
    </w:p>
    <w:p w:rsidR="00C15098" w:rsidRPr="00F64639" w:rsidRDefault="00C15098" w:rsidP="0090637B">
      <w:pPr>
        <w:autoSpaceDE w:val="0"/>
        <w:autoSpaceDN w:val="0"/>
        <w:adjustRightInd w:val="0"/>
        <w:jc w:val="both"/>
        <w:rPr>
          <w:b/>
        </w:rPr>
      </w:pPr>
      <w:r w:rsidRPr="00F64639">
        <w:rPr>
          <w:b/>
        </w:rPr>
        <w:t>Hatékonyságelemzés</w:t>
      </w:r>
    </w:p>
    <w:p w:rsidR="00212260" w:rsidRPr="00F64639" w:rsidRDefault="00212260" w:rsidP="007415A7">
      <w:pPr>
        <w:pStyle w:val="HUNNormal"/>
        <w:tabs>
          <w:tab w:val="left" w:pos="709"/>
        </w:tabs>
      </w:pPr>
      <w:r w:rsidRPr="00F64639">
        <w:t>A hatékonysággal kapcsolatban a legnagyobb kérdés az, hogy vajon tényleg szüksége volt-e a támogatotta</w:t>
      </w:r>
      <w:r w:rsidRPr="00F64639">
        <w:t>k</w:t>
      </w:r>
      <w:r w:rsidRPr="00F64639">
        <w:t>nak a támogatásra a beruházás megvalósítására.</w:t>
      </w:r>
    </w:p>
    <w:p w:rsidR="00212260" w:rsidRPr="00F64639" w:rsidRDefault="00212260" w:rsidP="007415A7">
      <w:pPr>
        <w:pStyle w:val="HUNNormal"/>
        <w:tabs>
          <w:tab w:val="left" w:pos="709"/>
        </w:tabs>
      </w:pPr>
      <w:r w:rsidRPr="00F64639">
        <w:t xml:space="preserve">Ezt kiemelten </w:t>
      </w:r>
      <w:r w:rsidR="0099375E">
        <w:t xml:space="preserve">a </w:t>
      </w:r>
      <w:r w:rsidR="00885F82" w:rsidRPr="00F64639">
        <w:t>„gépbeszerzé</w:t>
      </w:r>
      <w:r w:rsidR="00D10C76" w:rsidRPr="00F64639">
        <w:t>s</w:t>
      </w:r>
      <w:r w:rsidR="00885F82" w:rsidRPr="00F64639">
        <w:t>”</w:t>
      </w:r>
      <w:r w:rsidR="00CB4BF1" w:rsidRPr="00F64639">
        <w:t xml:space="preserve"> jogcímnél vizsgáltuk.</w:t>
      </w:r>
    </w:p>
    <w:p w:rsidR="007415A7" w:rsidRPr="00F64639" w:rsidRDefault="00212260" w:rsidP="007415A7">
      <w:pPr>
        <w:pStyle w:val="HUNNormal"/>
        <w:tabs>
          <w:tab w:val="left" w:pos="709"/>
        </w:tabs>
      </w:pPr>
      <w:r w:rsidRPr="00F64639">
        <w:t>Ennél a jogcímnél a</w:t>
      </w:r>
      <w:r w:rsidR="00D02671" w:rsidRPr="00F64639">
        <w:t xml:space="preserve">z SFH érték és a megítélt támogatási összeg hányadosának </w:t>
      </w:r>
      <w:r w:rsidR="00D85A14" w:rsidRPr="00F64639">
        <w:t xml:space="preserve">vizsgálatakor arra a kérdésre igyekeztünk választ kapni, hogy </w:t>
      </w:r>
      <w:r w:rsidR="00753BC0" w:rsidRPr="00F64639">
        <w:t>a támogatott</w:t>
      </w:r>
      <w:r w:rsidR="00D85A14" w:rsidRPr="00F64639">
        <w:t xml:space="preserve"> </w:t>
      </w:r>
      <w:r w:rsidR="007415A7" w:rsidRPr="00F64639">
        <w:t>jövedelem-pozíciója</w:t>
      </w:r>
      <w:r w:rsidR="00D85A14" w:rsidRPr="00F64639">
        <w:t xml:space="preserve"> mennyire indokolja a támogatást. </w:t>
      </w:r>
      <w:proofErr w:type="gramStart"/>
      <w:r w:rsidR="007415A7" w:rsidRPr="00F64639">
        <w:t>A vizsg</w:t>
      </w:r>
      <w:r w:rsidR="007415A7" w:rsidRPr="00F64639">
        <w:t>á</w:t>
      </w:r>
      <w:r w:rsidR="007415A7" w:rsidRPr="00F64639">
        <w:t>lat során megállapítottuk, hogy míg a „mikro</w:t>
      </w:r>
      <w:r w:rsidR="00840B7B" w:rsidRPr="00F64639">
        <w:t xml:space="preserve"> gazdálkodó</w:t>
      </w:r>
      <w:r w:rsidR="007415A7" w:rsidRPr="00F64639">
        <w:t>” csoportban egységnyi támogatásra 5,7 egységnyi SFH jut, addig a „</w:t>
      </w:r>
      <w:r w:rsidR="00840B7B" w:rsidRPr="00F64639">
        <w:t>nagygazdálkodó</w:t>
      </w:r>
      <w:r w:rsidR="007415A7" w:rsidRPr="00F64639">
        <w:t>” csoportban 41,5</w:t>
      </w:r>
      <w:r w:rsidR="007415A7" w:rsidRPr="00F64639">
        <w:rPr>
          <w:rStyle w:val="FootnoteReference"/>
        </w:rPr>
        <w:footnoteReference w:id="58"/>
      </w:r>
      <w:r w:rsidR="007415A7" w:rsidRPr="00F64639">
        <w:t>. Utóbbiak esetében – jóllehet az SFH értéke nem az</w:t>
      </w:r>
      <w:r w:rsidR="007415A7" w:rsidRPr="00F64639">
        <w:t>o</w:t>
      </w:r>
      <w:r w:rsidR="007415A7" w:rsidRPr="00F64639">
        <w:t>nos a vállalati jövedelem értékével (attól az állandó (általános) költségek mértékével tér el), mégis talán nem alaptalan arra következtetni, hogy az ebbe a csoportba tartozó gazdaságok saját forrásból is meg tudták volna oldani a szükséges fejlesztéseket.</w:t>
      </w:r>
      <w:proofErr w:type="gramEnd"/>
    </w:p>
    <w:p w:rsidR="00381049" w:rsidRPr="00F64639" w:rsidRDefault="0053761B" w:rsidP="007415A7">
      <w:pPr>
        <w:pStyle w:val="HUNNormal"/>
        <w:tabs>
          <w:tab w:val="left" w:pos="709"/>
        </w:tabs>
      </w:pPr>
      <w:r w:rsidRPr="00F64639">
        <w:t>Szintén kérdéses a beszerzett gépek kihasználtsága. A gépek közül sok magánszemélyekhez került</w:t>
      </w:r>
      <w:r w:rsidR="00D10C76" w:rsidRPr="00F64639">
        <w:t>,</w:t>
      </w:r>
      <w:r w:rsidRPr="00F64639">
        <w:t xml:space="preserve"> akiknél kérdéses az adott gép kihasználtsága. Ugyanakkor ezt jelenleg pontosan nem lehet felmérni, ehhez külön vizsgálat volna célszerű. A kihasználtság témakörében ráadásul meg kell említenünk, hogy a mezőgazdasági gépek kihasználtsága nehezen értelmezhető fogalom, hiszen a </w:t>
      </w:r>
      <w:r w:rsidR="00D10C76" w:rsidRPr="00F64639">
        <w:t>sajátos</w:t>
      </w:r>
      <w:r w:rsidRPr="00F64639">
        <w:t xml:space="preserve"> időjárási körülmények miatt például idén csak azok tudtak a szántóföldi növénytermesztésben sikeresen gazdálkodni, akik a szűk időablakokban saját gépeikkel ki tudtak menni a földekre. Akinek erre nem volt lehetősége, az rosszabb terméseredményre számíthat. Ennek fényében viszont nehéz a szükséges kapacitás/kihasználtság optimumát meghatározni. </w:t>
      </w:r>
      <w:r w:rsidR="00762460" w:rsidRPr="00F64639">
        <w:t xml:space="preserve">Az mindenképpen szerencsés volna, ha egy eszközfejlesztési támogatás ösztönözné a beszerzett infrastruktúra más gazdálkodókkal közös használatát. Ezt a kiírásban csak a TÉSZ tagságra adott plusz pont erősítette a </w:t>
      </w:r>
      <w:r w:rsidR="00762460" w:rsidRPr="00F64639">
        <w:lastRenderedPageBreak/>
        <w:t>vizsgált időszakban. Mivel azonban szinte minden jogosult nyert, ezért e</w:t>
      </w:r>
      <w:r w:rsidR="00D10C76" w:rsidRPr="00F64639">
        <w:t>nnek a kritériumnak a preferenciája sem érvényesült igazán</w:t>
      </w:r>
      <w:r w:rsidR="00762460" w:rsidRPr="00F64639">
        <w:t>.</w:t>
      </w:r>
    </w:p>
    <w:p w:rsidR="00CB4BF1" w:rsidRPr="00F64639" w:rsidRDefault="00337E1C" w:rsidP="007415A7">
      <w:pPr>
        <w:pStyle w:val="HUNNormal"/>
        <w:tabs>
          <w:tab w:val="left" w:pos="709"/>
        </w:tabs>
      </w:pPr>
      <w:r w:rsidRPr="00F64639">
        <w:t>A</w:t>
      </w:r>
      <w:r w:rsidR="005677AB" w:rsidRPr="00F64639">
        <w:t xml:space="preserve"> hatékonyság keretében érdemes a Mezőgazdasági </w:t>
      </w:r>
      <w:r w:rsidRPr="00F64639">
        <w:t>Gépkatalógus alkalmazásának</w:t>
      </w:r>
      <w:r w:rsidR="005677AB" w:rsidRPr="00F64639">
        <w:t xml:space="preserve"> gyakorlatát is vizsgálni. Ennek</w:t>
      </w:r>
      <w:r w:rsidRPr="00F64639">
        <w:t xml:space="preserve"> (bevezetéskor) az volta célja, hogy a piaci ár feletti számlázás kizárható legyen. A kereskedők azo</w:t>
      </w:r>
      <w:r w:rsidRPr="00F64639">
        <w:t>n</w:t>
      </w:r>
      <w:r w:rsidRPr="00F64639">
        <w:t xml:space="preserve">ban az újabb gépek felvételénél jelentős ártartalékot építettek be az árakba, és ha a régebben regisztrált gépek tekintetében az ártartalékot nem tartották elegendőnek, akkor verziószám módosítással helyettük új gépeket vetettek fel. Ez </w:t>
      </w:r>
      <w:r w:rsidR="005677AB" w:rsidRPr="00F64639">
        <w:t xml:space="preserve">oda </w:t>
      </w:r>
      <w:r w:rsidRPr="00F64639">
        <w:t>veze</w:t>
      </w:r>
      <w:r w:rsidR="005677AB" w:rsidRPr="00F64639">
        <w:t>tett</w:t>
      </w:r>
      <w:r w:rsidRPr="00F64639">
        <w:t xml:space="preserve">, hogy </w:t>
      </w:r>
      <w:r w:rsidR="005677AB" w:rsidRPr="00F64639">
        <w:t>azonos</w:t>
      </w:r>
      <w:r w:rsidRPr="00F64639">
        <w:t xml:space="preserve"> gépek </w:t>
      </w:r>
      <w:r w:rsidR="005677AB" w:rsidRPr="00F64639">
        <w:t xml:space="preserve">is </w:t>
      </w:r>
      <w:r w:rsidRPr="00F64639">
        <w:t xml:space="preserve">jelentős árkülönbségekkel jelentek meg a </w:t>
      </w:r>
      <w:r w:rsidR="005677AB" w:rsidRPr="00F64639">
        <w:t>külö</w:t>
      </w:r>
      <w:r w:rsidR="005677AB" w:rsidRPr="00F64639">
        <w:t>n</w:t>
      </w:r>
      <w:r w:rsidR="005677AB" w:rsidRPr="00F64639">
        <w:t xml:space="preserve">böző </w:t>
      </w:r>
      <w:r w:rsidRPr="00F64639">
        <w:t>támogatási kérel</w:t>
      </w:r>
      <w:r w:rsidR="005677AB" w:rsidRPr="00F64639">
        <w:t>mekben és egyes esetekben a beszerzés a reális ár felett történt, így a támogatási összeg is meghaladta a feltétlenül szükséges mértéket.</w:t>
      </w:r>
    </w:p>
    <w:p w:rsidR="00574F65" w:rsidRPr="00F64639" w:rsidRDefault="00574F65" w:rsidP="00574F65">
      <w:pPr>
        <w:pStyle w:val="HUNNormal"/>
        <w:tabs>
          <w:tab w:val="left" w:pos="709"/>
        </w:tabs>
      </w:pPr>
      <w:r w:rsidRPr="00F64639">
        <w:t xml:space="preserve">További problémát jelentett, hogy a Gépkatalógus nem számol az árkedvezményekkel. Ha valaki több gépre kapott támogatást, akár jelentős árkedvezményt is elérhetett, amit a Gépkatalógus, illetve a támogatási szabályok nem tudtak lekezelni (nem volt </w:t>
      </w:r>
      <w:proofErr w:type="spellStart"/>
      <w:r w:rsidRPr="00F64639">
        <w:t>degresszivítás</w:t>
      </w:r>
      <w:proofErr w:type="spellEnd"/>
      <w:r w:rsidRPr="00F64639">
        <w:t xml:space="preserve"> a támogatásban).</w:t>
      </w:r>
    </w:p>
    <w:p w:rsidR="00E30745" w:rsidRPr="00F64639" w:rsidRDefault="00E30745" w:rsidP="00075D7F">
      <w:pPr>
        <w:autoSpaceDE w:val="0"/>
        <w:autoSpaceDN w:val="0"/>
        <w:adjustRightInd w:val="0"/>
        <w:jc w:val="both"/>
        <w:rPr>
          <w:b/>
        </w:rPr>
      </w:pPr>
    </w:p>
    <w:p w:rsidR="00075D7F" w:rsidRPr="00F64639" w:rsidRDefault="00075D7F" w:rsidP="00075D7F">
      <w:pPr>
        <w:autoSpaceDE w:val="0"/>
        <w:autoSpaceDN w:val="0"/>
        <w:adjustRightInd w:val="0"/>
        <w:jc w:val="both"/>
        <w:rPr>
          <w:b/>
        </w:rPr>
      </w:pPr>
      <w:r w:rsidRPr="00F64639">
        <w:rPr>
          <w:b/>
        </w:rPr>
        <w:t>Potenciálvizsgálat</w:t>
      </w:r>
    </w:p>
    <w:p w:rsidR="00075D7F" w:rsidRPr="00F64639" w:rsidRDefault="004046CE" w:rsidP="00075D7F">
      <w:pPr>
        <w:autoSpaceDE w:val="0"/>
        <w:autoSpaceDN w:val="0"/>
        <w:adjustRightInd w:val="0"/>
        <w:jc w:val="both"/>
      </w:pPr>
      <w:r w:rsidRPr="00F64639">
        <w:t xml:space="preserve">Mivel a hatások még nem mérhetőek, de jelentős kötelezettségvállalás történt már </w:t>
      </w:r>
      <w:r w:rsidR="005677AB" w:rsidRPr="00F64639">
        <w:t>a vizsgált jogcímeken</w:t>
      </w:r>
      <w:r w:rsidRPr="00F64639">
        <w:t xml:space="preserve"> belül, ezért fontosnak tartottuk a vá</w:t>
      </w:r>
      <w:r w:rsidR="00CB4BF1" w:rsidRPr="00F64639">
        <w:t>rható hatások számszerűsítését.</w:t>
      </w:r>
    </w:p>
    <w:p w:rsidR="004046CE" w:rsidRPr="00F64639" w:rsidRDefault="004046CE" w:rsidP="00075D7F">
      <w:pPr>
        <w:autoSpaceDE w:val="0"/>
        <w:autoSpaceDN w:val="0"/>
        <w:adjustRightInd w:val="0"/>
        <w:jc w:val="both"/>
      </w:pPr>
      <w:r w:rsidRPr="00F64639">
        <w:t xml:space="preserve">Erre </w:t>
      </w:r>
      <w:r w:rsidR="00885F82" w:rsidRPr="00F64639">
        <w:t xml:space="preserve">egyrészt </w:t>
      </w:r>
      <w:r w:rsidRPr="00F64639">
        <w:t xml:space="preserve">a </w:t>
      </w:r>
      <w:r w:rsidRPr="00F64639">
        <w:rPr>
          <w:b/>
        </w:rPr>
        <w:t>foglalkoztatási hatásnál</w:t>
      </w:r>
      <w:r w:rsidRPr="00F64639">
        <w:t xml:space="preserve"> volt lehetőség az üzleti tervek elemzésével. A kérelmezőknek nyila</w:t>
      </w:r>
      <w:r w:rsidRPr="00F64639">
        <w:t>t</w:t>
      </w:r>
      <w:r w:rsidRPr="00F64639">
        <w:t>kozniuk kellett a fejlesztés után tervezett statisztikai létszámukról, amely összehasonlítható a kérelemb</w:t>
      </w:r>
      <w:r w:rsidRPr="00F64639">
        <w:t>e</w:t>
      </w:r>
      <w:r w:rsidRPr="00F64639">
        <w:t>nyújtáskor megadott értékkel. Ez alapján felmérhető, hogy mit terveztek a kérelmezők. Ez természetesen nem valós hatás, csak a terveket jellemzi.</w:t>
      </w:r>
      <w:r w:rsidR="006F5DCF" w:rsidRPr="00F64639">
        <w:t xml:space="preserve"> A következő táblázat </w:t>
      </w:r>
      <w:r w:rsidR="005677AB" w:rsidRPr="00F64639">
        <w:t xml:space="preserve">a vizsgált </w:t>
      </w:r>
      <w:r w:rsidR="006F5DCF" w:rsidRPr="00F64639">
        <w:t>jogcíme</w:t>
      </w:r>
      <w:r w:rsidR="005677AB" w:rsidRPr="00F64639">
        <w:t>ke</w:t>
      </w:r>
      <w:r w:rsidR="006F5DCF" w:rsidRPr="00F64639">
        <w:t>t mutatja be</w:t>
      </w:r>
      <w:r w:rsidR="00397597" w:rsidRPr="00F64639">
        <w:t xml:space="preserve"> ebből a </w:t>
      </w:r>
      <w:r w:rsidR="00CB4BF1" w:rsidRPr="00F64639">
        <w:t>szempontból</w:t>
      </w:r>
      <w:r w:rsidR="00397597" w:rsidRPr="00F64639">
        <w:t>.</w:t>
      </w:r>
    </w:p>
    <w:p w:rsidR="00397597" w:rsidRPr="00F64639" w:rsidRDefault="00374E45" w:rsidP="00397597">
      <w:pPr>
        <w:autoSpaceDE w:val="0"/>
        <w:autoSpaceDN w:val="0"/>
        <w:adjustRightInd w:val="0"/>
        <w:jc w:val="center"/>
      </w:pPr>
      <w:r w:rsidRPr="00F64639">
        <w:rPr>
          <w:noProof/>
        </w:rPr>
        <w:drawing>
          <wp:inline distT="0" distB="0" distL="0" distR="0">
            <wp:extent cx="4580890" cy="145796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80890" cy="1457960"/>
                    </a:xfrm>
                    <a:prstGeom prst="rect">
                      <a:avLst/>
                    </a:prstGeom>
                    <a:noFill/>
                    <a:ln w="9525">
                      <a:noFill/>
                      <a:miter lim="800000"/>
                      <a:headEnd/>
                      <a:tailEnd/>
                    </a:ln>
                  </pic:spPr>
                </pic:pic>
              </a:graphicData>
            </a:graphic>
          </wp:inline>
        </w:drawing>
      </w:r>
    </w:p>
    <w:p w:rsidR="00397597" w:rsidRPr="00F64639" w:rsidRDefault="00075A29" w:rsidP="00397597">
      <w:pPr>
        <w:pStyle w:val="Caption"/>
        <w:spacing w:before="240"/>
        <w:jc w:val="center"/>
        <w:rPr>
          <w:color w:val="auto"/>
        </w:rPr>
      </w:pPr>
      <w:r w:rsidRPr="00F64639">
        <w:rPr>
          <w:color w:val="auto"/>
        </w:rPr>
        <w:fldChar w:fldCharType="begin"/>
      </w:r>
      <w:r w:rsidR="00397597" w:rsidRPr="00F64639">
        <w:rPr>
          <w:color w:val="auto"/>
        </w:rPr>
        <w:instrText xml:space="preserve"> SEQ táblázat \* ARABIC </w:instrText>
      </w:r>
      <w:r w:rsidRPr="00F64639">
        <w:rPr>
          <w:color w:val="auto"/>
        </w:rPr>
        <w:fldChar w:fldCharType="separate"/>
      </w:r>
      <w:r w:rsidR="00E30745" w:rsidRPr="00F64639">
        <w:rPr>
          <w:noProof/>
          <w:color w:val="auto"/>
        </w:rPr>
        <w:t>17</w:t>
      </w:r>
      <w:r w:rsidRPr="00F64639">
        <w:rPr>
          <w:color w:val="auto"/>
        </w:rPr>
        <w:fldChar w:fldCharType="end"/>
      </w:r>
      <w:r w:rsidR="00397597" w:rsidRPr="00F64639">
        <w:rPr>
          <w:color w:val="auto"/>
        </w:rPr>
        <w:t xml:space="preserve">. táblázat: Az </w:t>
      </w:r>
      <w:proofErr w:type="spellStart"/>
      <w:r w:rsidR="00397597" w:rsidRPr="00F64639">
        <w:rPr>
          <w:color w:val="auto"/>
        </w:rPr>
        <w:t>alintézkedés</w:t>
      </w:r>
      <w:proofErr w:type="spellEnd"/>
      <w:r w:rsidR="00397597" w:rsidRPr="00F64639">
        <w:rPr>
          <w:color w:val="auto"/>
        </w:rPr>
        <w:t xml:space="preserve"> jogcímeinek tervezett létszámváltozása</w:t>
      </w:r>
    </w:p>
    <w:p w:rsidR="00211A00" w:rsidRPr="00F64639" w:rsidRDefault="00F80B46" w:rsidP="00075D7F">
      <w:pPr>
        <w:autoSpaceDE w:val="0"/>
        <w:autoSpaceDN w:val="0"/>
        <w:adjustRightInd w:val="0"/>
        <w:jc w:val="both"/>
      </w:pPr>
      <w:r w:rsidRPr="00F64639">
        <w:t>A számok azt mutatják, hogy az „öntözés”, a „szárítók” és a „gépbeszerzés” jogcímekre benyújtott kére</w:t>
      </w:r>
      <w:r w:rsidRPr="00F64639">
        <w:t>l</w:t>
      </w:r>
      <w:r w:rsidRPr="00F64639">
        <w:t>mekben inkább létszámcsökkentést terveztek a kérelmezők.</w:t>
      </w:r>
    </w:p>
    <w:p w:rsidR="008D1055" w:rsidRPr="00F64639" w:rsidRDefault="00211A00" w:rsidP="00075D7F">
      <w:pPr>
        <w:autoSpaceDE w:val="0"/>
        <w:autoSpaceDN w:val="0"/>
        <w:adjustRightInd w:val="0"/>
        <w:jc w:val="both"/>
      </w:pPr>
      <w:r w:rsidRPr="00F64639">
        <w:t>A „Gépbeszerzés” jogcímet jelentős forráslekötése miatt külön is vizsgáltuk és a létszámmal kapcsolatos terveket méretkategóriák szerint is</w:t>
      </w:r>
      <w:r w:rsidR="00602F64" w:rsidRPr="00F64639">
        <w:t>.</w:t>
      </w:r>
      <w:r w:rsidR="008D1055" w:rsidRPr="00F64639">
        <w:t xml:space="preserve"> Az eredményt a következő táblázat mutatja be.</w:t>
      </w:r>
    </w:p>
    <w:p w:rsidR="00397597" w:rsidRDefault="00397597" w:rsidP="00075D7F">
      <w:pPr>
        <w:autoSpaceDE w:val="0"/>
        <w:autoSpaceDN w:val="0"/>
        <w:adjustRightInd w:val="0"/>
        <w:jc w:val="both"/>
      </w:pPr>
    </w:p>
    <w:p w:rsidR="00E60698" w:rsidRDefault="00E60698" w:rsidP="00075D7F">
      <w:pPr>
        <w:autoSpaceDE w:val="0"/>
        <w:autoSpaceDN w:val="0"/>
        <w:adjustRightInd w:val="0"/>
        <w:jc w:val="both"/>
      </w:pPr>
    </w:p>
    <w:p w:rsidR="00E60698" w:rsidRPr="00F64639" w:rsidRDefault="00E60698" w:rsidP="00075D7F">
      <w:pPr>
        <w:autoSpaceDE w:val="0"/>
        <w:autoSpaceDN w:val="0"/>
        <w:adjustRightInd w:val="0"/>
        <w:jc w:val="both"/>
      </w:pP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155"/>
        <w:gridCol w:w="2349"/>
        <w:gridCol w:w="1615"/>
        <w:gridCol w:w="1412"/>
        <w:gridCol w:w="1848"/>
      </w:tblGrid>
      <w:tr w:rsidR="000E2F1A" w:rsidRPr="00F64639" w:rsidTr="002F783E">
        <w:trPr>
          <w:tblHeader/>
          <w:jc w:val="center"/>
        </w:trPr>
        <w:tc>
          <w:tcPr>
            <w:tcW w:w="1149"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
                <w:bCs/>
                <w:color w:val="FFFFFF"/>
                <w:sz w:val="18"/>
                <w:szCs w:val="18"/>
              </w:rPr>
              <w:lastRenderedPageBreak/>
              <w:t>Méretkategóriák SFH 2007 alapján (Gépb</w:t>
            </w:r>
            <w:r w:rsidRPr="00F64639">
              <w:rPr>
                <w:rFonts w:cs="Arial"/>
                <w:b/>
                <w:bCs/>
                <w:color w:val="FFFFFF"/>
                <w:sz w:val="18"/>
                <w:szCs w:val="18"/>
              </w:rPr>
              <w:t>e</w:t>
            </w:r>
            <w:r w:rsidRPr="00F64639">
              <w:rPr>
                <w:rFonts w:cs="Arial"/>
                <w:b/>
                <w:bCs/>
                <w:color w:val="FFFFFF"/>
                <w:sz w:val="18"/>
                <w:szCs w:val="18"/>
              </w:rPr>
              <w:t>szerzés)</w:t>
            </w:r>
          </w:p>
        </w:tc>
        <w:tc>
          <w:tcPr>
            <w:tcW w:w="1252"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
                <w:bCs/>
                <w:color w:val="FFFFFF"/>
                <w:sz w:val="18"/>
                <w:szCs w:val="18"/>
              </w:rPr>
              <w:t>Átlagos támogatási össz</w:t>
            </w:r>
            <w:r w:rsidRPr="00F64639">
              <w:rPr>
                <w:rFonts w:cs="Arial"/>
                <w:b/>
                <w:bCs/>
                <w:color w:val="FFFFFF"/>
                <w:sz w:val="18"/>
                <w:szCs w:val="18"/>
              </w:rPr>
              <w:t>e</w:t>
            </w:r>
            <w:r w:rsidRPr="00F64639">
              <w:rPr>
                <w:rFonts w:cs="Arial"/>
                <w:b/>
                <w:bCs/>
                <w:color w:val="FFFFFF"/>
                <w:sz w:val="18"/>
                <w:szCs w:val="18"/>
              </w:rPr>
              <w:t>gek</w:t>
            </w:r>
          </w:p>
        </w:tc>
        <w:tc>
          <w:tcPr>
            <w:tcW w:w="861"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
                <w:bCs/>
                <w:color w:val="FFFFFF"/>
                <w:sz w:val="18"/>
                <w:szCs w:val="18"/>
              </w:rPr>
              <w:t>Tervezett lé</w:t>
            </w:r>
            <w:r w:rsidRPr="00F64639">
              <w:rPr>
                <w:rFonts w:cs="Arial"/>
                <w:b/>
                <w:bCs/>
                <w:color w:val="FFFFFF"/>
                <w:sz w:val="18"/>
                <w:szCs w:val="18"/>
              </w:rPr>
              <w:t>t</w:t>
            </w:r>
            <w:r w:rsidRPr="00F64639">
              <w:rPr>
                <w:rFonts w:cs="Arial"/>
                <w:b/>
                <w:bCs/>
                <w:color w:val="FFFFFF"/>
                <w:sz w:val="18"/>
                <w:szCs w:val="18"/>
              </w:rPr>
              <w:t>számbővítés</w:t>
            </w:r>
          </w:p>
        </w:tc>
        <w:tc>
          <w:tcPr>
            <w:tcW w:w="753"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
                <w:bCs/>
                <w:color w:val="FFFFFF"/>
                <w:sz w:val="18"/>
                <w:szCs w:val="18"/>
              </w:rPr>
              <w:t>Átlaglétszám (</w:t>
            </w:r>
            <w:proofErr w:type="spellStart"/>
            <w:r w:rsidRPr="00F64639">
              <w:rPr>
                <w:rFonts w:cs="Arial"/>
                <w:b/>
                <w:bCs/>
                <w:color w:val="FFFFFF"/>
                <w:sz w:val="18"/>
                <w:szCs w:val="18"/>
              </w:rPr>
              <w:t>fejelsztés</w:t>
            </w:r>
            <w:proofErr w:type="spellEnd"/>
            <w:r w:rsidRPr="00F64639">
              <w:rPr>
                <w:rFonts w:cs="Arial"/>
                <w:b/>
                <w:bCs/>
                <w:color w:val="FFFFFF"/>
                <w:sz w:val="18"/>
                <w:szCs w:val="18"/>
              </w:rPr>
              <w:t xml:space="preserve"> </w:t>
            </w:r>
            <w:proofErr w:type="spellStart"/>
            <w:r w:rsidRPr="00F64639">
              <w:rPr>
                <w:rFonts w:cs="Arial"/>
                <w:b/>
                <w:bCs/>
                <w:color w:val="FFFFFF"/>
                <w:sz w:val="18"/>
                <w:szCs w:val="18"/>
              </w:rPr>
              <w:t>előőti</w:t>
            </w:r>
            <w:proofErr w:type="spellEnd"/>
            <w:r w:rsidRPr="00F64639">
              <w:rPr>
                <w:rFonts w:cs="Arial"/>
                <w:b/>
                <w:bCs/>
                <w:color w:val="FFFFFF"/>
                <w:sz w:val="18"/>
                <w:szCs w:val="18"/>
              </w:rPr>
              <w:t xml:space="preserve"> tény)</w:t>
            </w:r>
          </w:p>
        </w:tc>
        <w:tc>
          <w:tcPr>
            <w:tcW w:w="985"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
                <w:bCs/>
                <w:color w:val="FFFFFF"/>
                <w:sz w:val="18"/>
                <w:szCs w:val="18"/>
              </w:rPr>
              <w:t>Átlaglétszám (fejles</w:t>
            </w:r>
            <w:r w:rsidRPr="00F64639">
              <w:rPr>
                <w:rFonts w:cs="Arial"/>
                <w:b/>
                <w:bCs/>
                <w:color w:val="FFFFFF"/>
                <w:sz w:val="18"/>
                <w:szCs w:val="18"/>
              </w:rPr>
              <w:t>z</w:t>
            </w:r>
            <w:r w:rsidRPr="00F64639">
              <w:rPr>
                <w:rFonts w:cs="Arial"/>
                <w:b/>
                <w:bCs/>
                <w:color w:val="FFFFFF"/>
                <w:sz w:val="18"/>
                <w:szCs w:val="18"/>
              </w:rPr>
              <w:t>tés utánra vállalt)</w:t>
            </w:r>
          </w:p>
        </w:tc>
      </w:tr>
      <w:tr w:rsidR="000E2F1A" w:rsidRPr="00F64639" w:rsidTr="002F783E">
        <w:trPr>
          <w:jc w:val="center"/>
        </w:trPr>
        <w:tc>
          <w:tcPr>
            <w:tcW w:w="1149" w:type="pct"/>
            <w:tcBorders>
              <w:top w:val="single" w:sz="8" w:space="0" w:color="FFFFFF"/>
              <w:left w:val="single" w:sz="8" w:space="0" w:color="FFFFFF"/>
              <w:bottom w:val="nil"/>
              <w:right w:val="single" w:sz="24"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Cs/>
                <w:color w:val="FFFFFF"/>
                <w:sz w:val="18"/>
                <w:szCs w:val="18"/>
              </w:rPr>
              <w:t>Mikro vállalkozás</w:t>
            </w:r>
          </w:p>
        </w:tc>
        <w:tc>
          <w:tcPr>
            <w:tcW w:w="1252"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autoSpaceDE w:val="0"/>
              <w:autoSpaceDN w:val="0"/>
              <w:adjustRightInd w:val="0"/>
              <w:jc w:val="center"/>
            </w:pPr>
            <w:r w:rsidRPr="00F64639">
              <w:t>3 005 524 Ft</w:t>
            </w:r>
          </w:p>
        </w:tc>
        <w:tc>
          <w:tcPr>
            <w:tcW w:w="86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369</w:t>
            </w:r>
          </w:p>
        </w:tc>
        <w:tc>
          <w:tcPr>
            <w:tcW w:w="753"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3 528</w:t>
            </w:r>
          </w:p>
        </w:tc>
        <w:tc>
          <w:tcPr>
            <w:tcW w:w="985"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3 897</w:t>
            </w:r>
          </w:p>
        </w:tc>
      </w:tr>
      <w:tr w:rsidR="000E2F1A" w:rsidRPr="00F64639" w:rsidTr="002F783E">
        <w:trPr>
          <w:jc w:val="center"/>
        </w:trPr>
        <w:tc>
          <w:tcPr>
            <w:tcW w:w="1149" w:type="pct"/>
            <w:tcBorders>
              <w:left w:val="single" w:sz="8" w:space="0" w:color="FFFFFF"/>
              <w:bottom w:val="nil"/>
              <w:right w:val="single" w:sz="24"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Cs/>
                <w:color w:val="FFFFFF"/>
                <w:sz w:val="18"/>
                <w:szCs w:val="18"/>
              </w:rPr>
              <w:t>Kisvállalkozás</w:t>
            </w:r>
          </w:p>
        </w:tc>
        <w:tc>
          <w:tcPr>
            <w:tcW w:w="1252" w:type="pct"/>
            <w:shd w:val="clear" w:color="auto" w:fill="EFD3D2"/>
            <w:vAlign w:val="center"/>
          </w:tcPr>
          <w:p w:rsidR="008D1055" w:rsidRPr="00F64639" w:rsidRDefault="008D1055" w:rsidP="002F783E">
            <w:pPr>
              <w:autoSpaceDE w:val="0"/>
              <w:autoSpaceDN w:val="0"/>
              <w:adjustRightInd w:val="0"/>
              <w:jc w:val="center"/>
            </w:pPr>
            <w:r w:rsidRPr="00F64639">
              <w:t>4 263 879 Ft</w:t>
            </w:r>
          </w:p>
        </w:tc>
        <w:tc>
          <w:tcPr>
            <w:tcW w:w="861" w:type="pct"/>
            <w:shd w:val="clear" w:color="auto" w:fill="EFD3D2"/>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461</w:t>
            </w:r>
          </w:p>
        </w:tc>
        <w:tc>
          <w:tcPr>
            <w:tcW w:w="753" w:type="pct"/>
            <w:shd w:val="clear" w:color="auto" w:fill="EFD3D2"/>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4 321</w:t>
            </w:r>
          </w:p>
        </w:tc>
        <w:tc>
          <w:tcPr>
            <w:tcW w:w="985" w:type="pct"/>
            <w:shd w:val="clear" w:color="auto" w:fill="EFD3D2"/>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4 782</w:t>
            </w:r>
          </w:p>
        </w:tc>
      </w:tr>
      <w:tr w:rsidR="000E2F1A" w:rsidRPr="00F64639" w:rsidTr="002F783E">
        <w:trPr>
          <w:jc w:val="center"/>
        </w:trPr>
        <w:tc>
          <w:tcPr>
            <w:tcW w:w="1149" w:type="pct"/>
            <w:tcBorders>
              <w:top w:val="single" w:sz="8" w:space="0" w:color="FFFFFF"/>
              <w:left w:val="single" w:sz="8" w:space="0" w:color="FFFFFF"/>
              <w:bottom w:val="nil"/>
              <w:right w:val="single" w:sz="24"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Cs/>
                <w:color w:val="FFFFFF"/>
                <w:sz w:val="18"/>
                <w:szCs w:val="18"/>
              </w:rPr>
              <w:t>Közepes vállalkozás</w:t>
            </w:r>
          </w:p>
        </w:tc>
        <w:tc>
          <w:tcPr>
            <w:tcW w:w="1252"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autoSpaceDE w:val="0"/>
              <w:autoSpaceDN w:val="0"/>
              <w:adjustRightInd w:val="0"/>
              <w:jc w:val="center"/>
            </w:pPr>
            <w:r w:rsidRPr="00F64639">
              <w:t>8 365 816 Ft</w:t>
            </w:r>
          </w:p>
        </w:tc>
        <w:tc>
          <w:tcPr>
            <w:tcW w:w="86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771</w:t>
            </w:r>
          </w:p>
        </w:tc>
        <w:tc>
          <w:tcPr>
            <w:tcW w:w="753"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7 009</w:t>
            </w:r>
          </w:p>
        </w:tc>
        <w:tc>
          <w:tcPr>
            <w:tcW w:w="985"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7 780</w:t>
            </w:r>
          </w:p>
        </w:tc>
      </w:tr>
      <w:tr w:rsidR="000E2F1A" w:rsidRPr="00F64639" w:rsidTr="002F783E">
        <w:trPr>
          <w:jc w:val="center"/>
        </w:trPr>
        <w:tc>
          <w:tcPr>
            <w:tcW w:w="1149" w:type="pct"/>
            <w:tcBorders>
              <w:left w:val="single" w:sz="8" w:space="0" w:color="FFFFFF"/>
              <w:bottom w:val="nil"/>
              <w:right w:val="single" w:sz="24"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Cs/>
                <w:color w:val="FFFFFF"/>
                <w:sz w:val="18"/>
                <w:szCs w:val="18"/>
              </w:rPr>
              <w:t>Nagyvállalkozás</w:t>
            </w:r>
          </w:p>
        </w:tc>
        <w:tc>
          <w:tcPr>
            <w:tcW w:w="1252" w:type="pct"/>
            <w:shd w:val="clear" w:color="auto" w:fill="EFD3D2"/>
            <w:vAlign w:val="center"/>
          </w:tcPr>
          <w:p w:rsidR="008D1055" w:rsidRPr="00F64639" w:rsidRDefault="008D1055" w:rsidP="002F783E">
            <w:pPr>
              <w:autoSpaceDE w:val="0"/>
              <w:autoSpaceDN w:val="0"/>
              <w:adjustRightInd w:val="0"/>
              <w:jc w:val="center"/>
            </w:pPr>
            <w:r w:rsidRPr="00F64639">
              <w:t>18 393 874 Ft</w:t>
            </w:r>
          </w:p>
        </w:tc>
        <w:tc>
          <w:tcPr>
            <w:tcW w:w="861" w:type="pct"/>
            <w:shd w:val="clear" w:color="auto" w:fill="EFD3D2"/>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- 5 412</w:t>
            </w:r>
          </w:p>
        </w:tc>
        <w:tc>
          <w:tcPr>
            <w:tcW w:w="753" w:type="pct"/>
            <w:shd w:val="clear" w:color="auto" w:fill="EFD3D2"/>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88 179</w:t>
            </w:r>
          </w:p>
        </w:tc>
        <w:tc>
          <w:tcPr>
            <w:tcW w:w="985" w:type="pct"/>
            <w:shd w:val="clear" w:color="auto" w:fill="EFD3D2"/>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82 767</w:t>
            </w:r>
          </w:p>
        </w:tc>
      </w:tr>
      <w:tr w:rsidR="000E2F1A" w:rsidRPr="00F64639" w:rsidTr="002F783E">
        <w:trPr>
          <w:jc w:val="center"/>
        </w:trPr>
        <w:tc>
          <w:tcPr>
            <w:tcW w:w="1149" w:type="pct"/>
            <w:tcBorders>
              <w:top w:val="single" w:sz="8" w:space="0" w:color="FFFFFF"/>
              <w:left w:val="single" w:sz="8" w:space="0" w:color="FFFFFF"/>
              <w:bottom w:val="nil"/>
              <w:right w:val="single" w:sz="24"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Cs/>
                <w:color w:val="FFFFFF"/>
                <w:sz w:val="18"/>
                <w:szCs w:val="18"/>
              </w:rPr>
              <w:t>Nincs benn a vizsgála</w:t>
            </w:r>
            <w:r w:rsidRPr="00F64639">
              <w:rPr>
                <w:rFonts w:cs="Arial"/>
                <w:bCs/>
                <w:color w:val="FFFFFF"/>
                <w:sz w:val="18"/>
                <w:szCs w:val="18"/>
              </w:rPr>
              <w:t>t</w:t>
            </w:r>
            <w:r w:rsidRPr="00F64639">
              <w:rPr>
                <w:rFonts w:cs="Arial"/>
                <w:bCs/>
                <w:color w:val="FFFFFF"/>
                <w:sz w:val="18"/>
                <w:szCs w:val="18"/>
              </w:rPr>
              <w:t>ban</w:t>
            </w:r>
            <w:r w:rsidRPr="00F64639">
              <w:rPr>
                <w:rStyle w:val="FootnoteReference"/>
                <w:rFonts w:cs="Arial"/>
                <w:bCs/>
                <w:color w:val="FFFFFF"/>
                <w:sz w:val="18"/>
                <w:szCs w:val="18"/>
              </w:rPr>
              <w:footnoteReference w:id="59"/>
            </w:r>
          </w:p>
        </w:tc>
        <w:tc>
          <w:tcPr>
            <w:tcW w:w="1252"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autoSpaceDE w:val="0"/>
              <w:autoSpaceDN w:val="0"/>
              <w:adjustRightInd w:val="0"/>
              <w:jc w:val="center"/>
            </w:pPr>
            <w:r w:rsidRPr="00F64639">
              <w:t>6 883 962 Ft</w:t>
            </w:r>
          </w:p>
        </w:tc>
        <w:tc>
          <w:tcPr>
            <w:tcW w:w="86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600</w:t>
            </w:r>
          </w:p>
        </w:tc>
        <w:tc>
          <w:tcPr>
            <w:tcW w:w="753"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6 812</w:t>
            </w:r>
          </w:p>
        </w:tc>
        <w:tc>
          <w:tcPr>
            <w:tcW w:w="985"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8D1055" w:rsidRPr="00F64639" w:rsidRDefault="008D1055" w:rsidP="002F783E">
            <w:pPr>
              <w:jc w:val="center"/>
              <w:rPr>
                <w:rFonts w:cs="Arial"/>
                <w:color w:val="000000"/>
                <w:sz w:val="18"/>
                <w:szCs w:val="18"/>
              </w:rPr>
            </w:pPr>
            <w:r w:rsidRPr="00F64639">
              <w:rPr>
                <w:rFonts w:cs="Arial"/>
                <w:color w:val="000000"/>
                <w:sz w:val="18"/>
                <w:szCs w:val="18"/>
              </w:rPr>
              <w:t>7 412</w:t>
            </w:r>
          </w:p>
        </w:tc>
      </w:tr>
      <w:tr w:rsidR="000E2F1A" w:rsidRPr="00F64639" w:rsidTr="002F783E">
        <w:trPr>
          <w:jc w:val="center"/>
        </w:trPr>
        <w:tc>
          <w:tcPr>
            <w:tcW w:w="1149" w:type="pct"/>
            <w:tcBorders>
              <w:left w:val="single" w:sz="8" w:space="0" w:color="FFFFFF"/>
              <w:right w:val="single" w:sz="24" w:space="0" w:color="FFFFFF"/>
            </w:tcBorders>
            <w:shd w:val="clear" w:color="auto" w:fill="C0504D"/>
            <w:vAlign w:val="center"/>
          </w:tcPr>
          <w:p w:rsidR="008D1055" w:rsidRPr="00F64639" w:rsidRDefault="008D1055" w:rsidP="002F783E">
            <w:pPr>
              <w:jc w:val="center"/>
              <w:rPr>
                <w:rFonts w:cs="Arial"/>
                <w:b/>
                <w:bCs/>
                <w:color w:val="FFFFFF"/>
                <w:sz w:val="18"/>
                <w:szCs w:val="18"/>
              </w:rPr>
            </w:pPr>
            <w:r w:rsidRPr="00F64639">
              <w:rPr>
                <w:rFonts w:cs="Arial"/>
                <w:b/>
                <w:color w:val="FFFFFF"/>
                <w:sz w:val="18"/>
                <w:szCs w:val="18"/>
              </w:rPr>
              <w:t>Összesen</w:t>
            </w:r>
          </w:p>
        </w:tc>
        <w:tc>
          <w:tcPr>
            <w:tcW w:w="1252" w:type="pct"/>
            <w:shd w:val="clear" w:color="auto" w:fill="EFD3D2"/>
            <w:vAlign w:val="center"/>
          </w:tcPr>
          <w:p w:rsidR="008D1055" w:rsidRPr="00F64639" w:rsidRDefault="008D1055" w:rsidP="002F783E">
            <w:pPr>
              <w:jc w:val="center"/>
              <w:rPr>
                <w:rFonts w:cs="Arial"/>
                <w:b/>
                <w:bCs/>
                <w:color w:val="000000"/>
                <w:sz w:val="18"/>
                <w:szCs w:val="18"/>
              </w:rPr>
            </w:pPr>
            <w:r w:rsidRPr="00F64639">
              <w:rPr>
                <w:rFonts w:cs="Arial"/>
                <w:b/>
                <w:bCs/>
                <w:color w:val="000000"/>
                <w:sz w:val="18"/>
                <w:szCs w:val="18"/>
              </w:rPr>
              <w:t>76 784 719 852 Ft</w:t>
            </w:r>
          </w:p>
        </w:tc>
        <w:tc>
          <w:tcPr>
            <w:tcW w:w="861" w:type="pct"/>
            <w:shd w:val="clear" w:color="auto" w:fill="EFD3D2"/>
            <w:vAlign w:val="center"/>
          </w:tcPr>
          <w:p w:rsidR="008D1055" w:rsidRPr="00F64639" w:rsidRDefault="008D1055" w:rsidP="002F783E">
            <w:pPr>
              <w:jc w:val="center"/>
              <w:rPr>
                <w:rFonts w:cs="Arial"/>
                <w:b/>
                <w:bCs/>
                <w:color w:val="000000"/>
                <w:sz w:val="18"/>
                <w:szCs w:val="18"/>
              </w:rPr>
            </w:pPr>
            <w:r w:rsidRPr="00F64639">
              <w:rPr>
                <w:rFonts w:cs="Arial"/>
                <w:b/>
                <w:bCs/>
                <w:color w:val="000000"/>
                <w:sz w:val="18"/>
                <w:szCs w:val="18"/>
              </w:rPr>
              <w:t>-3 211</w:t>
            </w:r>
          </w:p>
        </w:tc>
        <w:tc>
          <w:tcPr>
            <w:tcW w:w="753" w:type="pct"/>
            <w:shd w:val="clear" w:color="auto" w:fill="EFD3D2"/>
            <w:vAlign w:val="center"/>
          </w:tcPr>
          <w:p w:rsidR="008D1055" w:rsidRPr="00F64639" w:rsidRDefault="008D1055" w:rsidP="002F783E">
            <w:pPr>
              <w:jc w:val="center"/>
              <w:rPr>
                <w:rFonts w:cs="Arial"/>
                <w:b/>
                <w:bCs/>
                <w:color w:val="000000"/>
                <w:sz w:val="18"/>
                <w:szCs w:val="18"/>
              </w:rPr>
            </w:pPr>
            <w:r w:rsidRPr="00F64639">
              <w:rPr>
                <w:rFonts w:cs="Arial"/>
                <w:b/>
                <w:bCs/>
                <w:color w:val="000000"/>
                <w:sz w:val="18"/>
                <w:szCs w:val="18"/>
              </w:rPr>
              <w:t>109 849</w:t>
            </w:r>
          </w:p>
        </w:tc>
        <w:tc>
          <w:tcPr>
            <w:tcW w:w="985" w:type="pct"/>
            <w:shd w:val="clear" w:color="auto" w:fill="EFD3D2"/>
            <w:vAlign w:val="center"/>
          </w:tcPr>
          <w:p w:rsidR="008D1055" w:rsidRPr="00F64639" w:rsidRDefault="008D1055" w:rsidP="002F783E">
            <w:pPr>
              <w:jc w:val="center"/>
              <w:rPr>
                <w:rFonts w:cs="Arial"/>
                <w:b/>
                <w:bCs/>
                <w:color w:val="000000"/>
                <w:sz w:val="18"/>
                <w:szCs w:val="18"/>
              </w:rPr>
            </w:pPr>
            <w:r w:rsidRPr="00F64639">
              <w:rPr>
                <w:rFonts w:cs="Arial"/>
                <w:b/>
                <w:bCs/>
                <w:color w:val="000000"/>
                <w:sz w:val="18"/>
                <w:szCs w:val="18"/>
              </w:rPr>
              <w:t>106 638</w:t>
            </w:r>
          </w:p>
        </w:tc>
      </w:tr>
    </w:tbl>
    <w:p w:rsidR="00397597" w:rsidRPr="00F64639" w:rsidRDefault="00075A29" w:rsidP="00397597">
      <w:pPr>
        <w:pStyle w:val="Caption"/>
        <w:spacing w:before="240"/>
        <w:jc w:val="center"/>
        <w:rPr>
          <w:color w:val="auto"/>
        </w:rPr>
      </w:pPr>
      <w:r w:rsidRPr="00F64639">
        <w:rPr>
          <w:color w:val="auto"/>
        </w:rPr>
        <w:fldChar w:fldCharType="begin"/>
      </w:r>
      <w:r w:rsidR="00397597" w:rsidRPr="00F64639">
        <w:rPr>
          <w:color w:val="auto"/>
        </w:rPr>
        <w:instrText xml:space="preserve"> SEQ táblázat \* ARABIC </w:instrText>
      </w:r>
      <w:r w:rsidRPr="00F64639">
        <w:rPr>
          <w:color w:val="auto"/>
        </w:rPr>
        <w:fldChar w:fldCharType="separate"/>
      </w:r>
      <w:r w:rsidR="00E30745" w:rsidRPr="00F64639">
        <w:rPr>
          <w:noProof/>
          <w:color w:val="auto"/>
        </w:rPr>
        <w:t>18</w:t>
      </w:r>
      <w:r w:rsidRPr="00F64639">
        <w:rPr>
          <w:color w:val="auto"/>
        </w:rPr>
        <w:fldChar w:fldCharType="end"/>
      </w:r>
      <w:r w:rsidR="00397597" w:rsidRPr="00F64639">
        <w:rPr>
          <w:color w:val="auto"/>
        </w:rPr>
        <w:t>. táblázat: A gépbeszerzés jogcímben tervezett létszámváltozás méretkategóriánként</w:t>
      </w:r>
    </w:p>
    <w:p w:rsidR="00F80B46" w:rsidRPr="00F64639" w:rsidRDefault="008D1055" w:rsidP="00075D7F">
      <w:pPr>
        <w:autoSpaceDE w:val="0"/>
        <w:autoSpaceDN w:val="0"/>
        <w:adjustRightInd w:val="0"/>
        <w:jc w:val="both"/>
        <w:rPr>
          <w:b/>
        </w:rPr>
      </w:pPr>
      <w:r w:rsidRPr="00F64639">
        <w:rPr>
          <w:b/>
        </w:rPr>
        <w:t>A táblázatnak többféle értelmezése is lehetséges.</w:t>
      </w:r>
      <w:r w:rsidRPr="00F64639">
        <w:t xml:space="preserve"> A legkézenfekvőbb az, hogy </w:t>
      </w:r>
      <w:r w:rsidR="00F63267" w:rsidRPr="00F64639">
        <w:t>a kisebb vállalkozások bőv</w:t>
      </w:r>
      <w:r w:rsidR="00F63267" w:rsidRPr="00F64639">
        <w:t>í</w:t>
      </w:r>
      <w:r w:rsidR="00F63267" w:rsidRPr="00F64639">
        <w:t>tésre, a nagyobbak költségek csökkentésére pályáztak, ennek megfelelő létszámtervekkel. Emellett elké</w:t>
      </w:r>
      <w:r w:rsidR="00F63267" w:rsidRPr="00F64639">
        <w:t>p</w:t>
      </w:r>
      <w:r w:rsidR="00F63267" w:rsidRPr="00F64639">
        <w:t xml:space="preserve">zelhető az is, hogy a kisebb vállalkozások jobban akartak nyerni és ezért </w:t>
      </w:r>
      <w:r w:rsidR="0099375E">
        <w:t>„</w:t>
      </w:r>
      <w:r w:rsidR="00F63267" w:rsidRPr="00F64639">
        <w:t>beígérték</w:t>
      </w:r>
      <w:r w:rsidR="0099375E">
        <w:t>”</w:t>
      </w:r>
      <w:r w:rsidR="00F63267" w:rsidRPr="00F64639">
        <w:t xml:space="preserve"> a létszámbővítést a magasabb pontszámért cserébe, míg a nagyobbak inkább </w:t>
      </w:r>
      <w:proofErr w:type="spellStart"/>
      <w:r w:rsidR="00F63267" w:rsidRPr="00F64639">
        <w:t>enélkül</w:t>
      </w:r>
      <w:proofErr w:type="spellEnd"/>
      <w:r w:rsidR="00F63267" w:rsidRPr="00F64639">
        <w:t xml:space="preserve"> próbálkoztak (egyébként sikerrel). </w:t>
      </w:r>
      <w:r w:rsidR="00F63267" w:rsidRPr="00F64639">
        <w:rPr>
          <w:b/>
        </w:rPr>
        <w:t xml:space="preserve">Mivel az </w:t>
      </w:r>
      <w:proofErr w:type="spellStart"/>
      <w:r w:rsidR="00F63267" w:rsidRPr="00F64639">
        <w:rPr>
          <w:b/>
        </w:rPr>
        <w:t>ökonometria</w:t>
      </w:r>
      <w:proofErr w:type="spellEnd"/>
      <w:r w:rsidR="00F63267" w:rsidRPr="00F64639">
        <w:rPr>
          <w:b/>
        </w:rPr>
        <w:t xml:space="preserve"> alapján egyelőre nem mérhető a hatás, illetve az e-monitoring sem tartalmaz kellő menny</w:t>
      </w:r>
      <w:r w:rsidR="00F63267" w:rsidRPr="00F64639">
        <w:rPr>
          <w:b/>
        </w:rPr>
        <w:t>i</w:t>
      </w:r>
      <w:r w:rsidR="00F63267" w:rsidRPr="00F64639">
        <w:rPr>
          <w:b/>
        </w:rPr>
        <w:t>ségű, minőségi adatot, ezért a konklúziót inkább további vizsgálatok után lehet majd levonni.</w:t>
      </w:r>
    </w:p>
    <w:p w:rsidR="00231100" w:rsidRPr="00F64639" w:rsidRDefault="00231100" w:rsidP="00075D7F">
      <w:pPr>
        <w:autoSpaceDE w:val="0"/>
        <w:autoSpaceDN w:val="0"/>
        <w:adjustRightInd w:val="0"/>
        <w:jc w:val="both"/>
      </w:pPr>
      <w:r w:rsidRPr="00F64639">
        <w:t xml:space="preserve">Szintén érdekes vizsgálni </w:t>
      </w:r>
      <w:r w:rsidRPr="00F64639">
        <w:rPr>
          <w:b/>
        </w:rPr>
        <w:t>az államháztartásra gyakorolt hatást</w:t>
      </w:r>
      <w:r w:rsidRPr="00F64639">
        <w:t xml:space="preserve">. A </w:t>
      </w:r>
      <w:r w:rsidR="00CB4BF1" w:rsidRPr="00F64639">
        <w:t>nagy volumenű</w:t>
      </w:r>
      <w:r w:rsidRPr="00F64639">
        <w:t xml:space="preserve"> beruházások a költségv</w:t>
      </w:r>
      <w:r w:rsidRPr="00F64639">
        <w:t>e</w:t>
      </w:r>
      <w:r w:rsidRPr="00F64639">
        <w:t>tésre általában pozitív hatással vannak az ÁFA bevételen keresztül, míg a magyar gazdaságban a külkere</w:t>
      </w:r>
      <w:r w:rsidRPr="00F64639">
        <w:t>s</w:t>
      </w:r>
      <w:r w:rsidRPr="00F64639">
        <w:t>kedelmi egyenleget általában rontják. Ezt a két hatást próbáltuk közelíteni az ÁFA mérték közelítésével és a származási ország beazonosításával. Az eredményt a következő táblázat mutatja be.</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093"/>
        <w:gridCol w:w="2125"/>
        <w:gridCol w:w="2816"/>
        <w:gridCol w:w="2345"/>
      </w:tblGrid>
      <w:tr w:rsidR="000E2F1A" w:rsidRPr="00F64639" w:rsidTr="002F783E">
        <w:tc>
          <w:tcPr>
            <w:tcW w:w="1116"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31100" w:rsidRPr="00F64639" w:rsidRDefault="00231100" w:rsidP="002F783E">
            <w:pPr>
              <w:pStyle w:val="HUNNormal"/>
              <w:jc w:val="center"/>
              <w:rPr>
                <w:b/>
                <w:bCs/>
                <w:color w:val="FFFFFF"/>
                <w:sz w:val="18"/>
                <w:szCs w:val="18"/>
              </w:rPr>
            </w:pPr>
            <w:r w:rsidRPr="00F64639">
              <w:rPr>
                <w:b/>
                <w:bCs/>
                <w:color w:val="FFFFFF"/>
                <w:sz w:val="18"/>
                <w:szCs w:val="18"/>
              </w:rPr>
              <w:t>Jogcím</w:t>
            </w:r>
          </w:p>
        </w:tc>
        <w:tc>
          <w:tcPr>
            <w:tcW w:w="1133"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31100" w:rsidRPr="00F64639" w:rsidRDefault="00231100" w:rsidP="002F783E">
            <w:pPr>
              <w:pStyle w:val="HUNNormal"/>
              <w:jc w:val="center"/>
              <w:rPr>
                <w:b/>
                <w:bCs/>
                <w:color w:val="FFFFFF"/>
                <w:sz w:val="18"/>
                <w:szCs w:val="18"/>
              </w:rPr>
            </w:pPr>
            <w:r w:rsidRPr="00F64639">
              <w:rPr>
                <w:b/>
                <w:bCs/>
                <w:color w:val="FFFFFF"/>
                <w:sz w:val="18"/>
                <w:szCs w:val="18"/>
              </w:rPr>
              <w:t>„Dologi” kiadások</w:t>
            </w:r>
          </w:p>
        </w:tc>
        <w:tc>
          <w:tcPr>
            <w:tcW w:w="1501"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31100" w:rsidRPr="00F64639" w:rsidRDefault="00231100" w:rsidP="002F783E">
            <w:pPr>
              <w:pStyle w:val="HUNNormal"/>
              <w:jc w:val="center"/>
              <w:rPr>
                <w:b/>
                <w:bCs/>
                <w:color w:val="FFFFFF"/>
                <w:sz w:val="18"/>
                <w:szCs w:val="18"/>
              </w:rPr>
            </w:pPr>
            <w:r w:rsidRPr="00F64639">
              <w:rPr>
                <w:b/>
                <w:bCs/>
                <w:color w:val="FFFFFF"/>
                <w:sz w:val="18"/>
                <w:szCs w:val="18"/>
              </w:rPr>
              <w:t>ÁFA tartalom</w:t>
            </w:r>
          </w:p>
        </w:tc>
        <w:tc>
          <w:tcPr>
            <w:tcW w:w="1250"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31100" w:rsidRPr="00F64639" w:rsidRDefault="00231100" w:rsidP="002F783E">
            <w:pPr>
              <w:pStyle w:val="HUNNormal"/>
              <w:jc w:val="center"/>
              <w:rPr>
                <w:b/>
                <w:bCs/>
                <w:color w:val="FFFFFF"/>
                <w:sz w:val="18"/>
                <w:szCs w:val="18"/>
              </w:rPr>
            </w:pPr>
            <w:r w:rsidRPr="00F64639">
              <w:rPr>
                <w:b/>
                <w:bCs/>
                <w:color w:val="FFFFFF"/>
                <w:sz w:val="18"/>
                <w:szCs w:val="18"/>
              </w:rPr>
              <w:t>Export arány</w:t>
            </w:r>
            <w:r w:rsidRPr="00F64639">
              <w:rPr>
                <w:rStyle w:val="FootnoteReference"/>
                <w:b/>
                <w:bCs/>
                <w:color w:val="FFFFFF"/>
                <w:sz w:val="18"/>
                <w:szCs w:val="18"/>
              </w:rPr>
              <w:footnoteReference w:id="60"/>
            </w:r>
          </w:p>
        </w:tc>
      </w:tr>
      <w:tr w:rsidR="000E2F1A" w:rsidRPr="00F64639" w:rsidTr="002F783E">
        <w:tc>
          <w:tcPr>
            <w:tcW w:w="1116" w:type="pct"/>
            <w:tcBorders>
              <w:top w:val="single" w:sz="8" w:space="0" w:color="FFFFFF"/>
              <w:left w:val="single" w:sz="8" w:space="0" w:color="FFFFFF"/>
              <w:bottom w:val="nil"/>
              <w:right w:val="single" w:sz="24" w:space="0" w:color="FFFFFF"/>
            </w:tcBorders>
            <w:shd w:val="clear" w:color="auto" w:fill="C0504D"/>
          </w:tcPr>
          <w:p w:rsidR="00397597" w:rsidRPr="00F64639" w:rsidRDefault="00397597" w:rsidP="002F783E">
            <w:pPr>
              <w:pStyle w:val="HUNNormal"/>
              <w:jc w:val="center"/>
              <w:rPr>
                <w:b/>
                <w:bCs/>
                <w:i/>
                <w:color w:val="FFFFFF"/>
                <w:sz w:val="18"/>
                <w:szCs w:val="18"/>
              </w:rPr>
            </w:pPr>
            <w:r w:rsidRPr="00F64639">
              <w:rPr>
                <w:b/>
                <w:bCs/>
                <w:i/>
                <w:color w:val="FFFFFF"/>
                <w:sz w:val="18"/>
                <w:szCs w:val="18"/>
              </w:rPr>
              <w:t>Gépbeszerzés</w:t>
            </w:r>
          </w:p>
        </w:tc>
        <w:tc>
          <w:tcPr>
            <w:tcW w:w="1133"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jc w:val="center"/>
              <w:rPr>
                <w:rFonts w:cs="Calibri"/>
                <w:bCs/>
                <w:color w:val="000000"/>
                <w:sz w:val="18"/>
                <w:szCs w:val="18"/>
              </w:rPr>
            </w:pPr>
            <w:r w:rsidRPr="00F64639">
              <w:rPr>
                <w:rFonts w:cs="Calibri"/>
                <w:bCs/>
                <w:color w:val="000000"/>
                <w:sz w:val="18"/>
                <w:szCs w:val="18"/>
              </w:rPr>
              <w:t>76 712 965 552 Ft</w:t>
            </w:r>
          </w:p>
        </w:tc>
        <w:tc>
          <w:tcPr>
            <w:tcW w:w="1501"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jc w:val="center"/>
              <w:rPr>
                <w:rFonts w:cs="Calibri"/>
                <w:bCs/>
                <w:color w:val="000000"/>
                <w:sz w:val="18"/>
                <w:szCs w:val="18"/>
              </w:rPr>
            </w:pPr>
            <w:r w:rsidRPr="00F64639">
              <w:rPr>
                <w:rFonts w:cs="Calibri"/>
                <w:bCs/>
                <w:color w:val="000000"/>
                <w:sz w:val="18"/>
                <w:szCs w:val="18"/>
              </w:rPr>
              <w:t>15 342 593 110 Ft</w:t>
            </w:r>
          </w:p>
        </w:tc>
        <w:tc>
          <w:tcPr>
            <w:tcW w:w="1250"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pStyle w:val="HUNNormal"/>
              <w:jc w:val="center"/>
              <w:rPr>
                <w:sz w:val="18"/>
                <w:szCs w:val="18"/>
              </w:rPr>
            </w:pPr>
            <w:r w:rsidRPr="00F64639">
              <w:rPr>
                <w:sz w:val="18"/>
                <w:szCs w:val="18"/>
              </w:rPr>
              <w:t>8,26% magyar származású</w:t>
            </w:r>
          </w:p>
        </w:tc>
      </w:tr>
      <w:tr w:rsidR="000E2F1A" w:rsidRPr="00F64639" w:rsidTr="002F783E">
        <w:tc>
          <w:tcPr>
            <w:tcW w:w="1116" w:type="pct"/>
            <w:tcBorders>
              <w:left w:val="single" w:sz="8" w:space="0" w:color="FFFFFF"/>
              <w:bottom w:val="nil"/>
              <w:right w:val="single" w:sz="24" w:space="0" w:color="FFFFFF"/>
            </w:tcBorders>
            <w:shd w:val="clear" w:color="auto" w:fill="C0504D"/>
          </w:tcPr>
          <w:p w:rsidR="00397597" w:rsidRPr="00F64639" w:rsidRDefault="00397597" w:rsidP="002F783E">
            <w:pPr>
              <w:pStyle w:val="HUNNormal"/>
              <w:jc w:val="center"/>
              <w:rPr>
                <w:b/>
                <w:bCs/>
                <w:i/>
                <w:color w:val="FFFFFF"/>
                <w:sz w:val="18"/>
                <w:szCs w:val="18"/>
              </w:rPr>
            </w:pPr>
            <w:r w:rsidRPr="00F64639">
              <w:rPr>
                <w:b/>
                <w:bCs/>
                <w:i/>
                <w:color w:val="FFFFFF"/>
                <w:sz w:val="18"/>
                <w:szCs w:val="18"/>
              </w:rPr>
              <w:t>Kertészeti gépek</w:t>
            </w:r>
          </w:p>
        </w:tc>
        <w:tc>
          <w:tcPr>
            <w:tcW w:w="1133" w:type="pct"/>
            <w:shd w:val="clear" w:color="auto" w:fill="EFD3D2"/>
          </w:tcPr>
          <w:p w:rsidR="00397597" w:rsidRPr="00F64639" w:rsidRDefault="00397597" w:rsidP="002F783E">
            <w:pPr>
              <w:jc w:val="center"/>
              <w:rPr>
                <w:rFonts w:cs="Calibri"/>
                <w:bCs/>
                <w:color w:val="000000"/>
                <w:sz w:val="18"/>
                <w:szCs w:val="18"/>
              </w:rPr>
            </w:pPr>
            <w:r w:rsidRPr="00F64639">
              <w:rPr>
                <w:rFonts w:cs="Calibri"/>
                <w:bCs/>
                <w:color w:val="000000"/>
                <w:sz w:val="18"/>
                <w:szCs w:val="18"/>
              </w:rPr>
              <w:t>9 964 104 716 Ft</w:t>
            </w:r>
          </w:p>
        </w:tc>
        <w:tc>
          <w:tcPr>
            <w:tcW w:w="1501" w:type="pct"/>
            <w:shd w:val="clear" w:color="auto" w:fill="EFD3D2"/>
          </w:tcPr>
          <w:p w:rsidR="00397597" w:rsidRPr="00F64639" w:rsidRDefault="00397597" w:rsidP="002F783E">
            <w:pPr>
              <w:jc w:val="center"/>
              <w:rPr>
                <w:rFonts w:cs="Calibri"/>
                <w:color w:val="000000"/>
                <w:sz w:val="18"/>
                <w:szCs w:val="18"/>
              </w:rPr>
            </w:pPr>
            <w:r w:rsidRPr="00F64639">
              <w:rPr>
                <w:rFonts w:cs="Calibri"/>
                <w:color w:val="000000"/>
                <w:sz w:val="18"/>
                <w:szCs w:val="18"/>
              </w:rPr>
              <w:t>1 992 820 943 Ft</w:t>
            </w:r>
          </w:p>
        </w:tc>
        <w:tc>
          <w:tcPr>
            <w:tcW w:w="1250" w:type="pct"/>
            <w:shd w:val="clear" w:color="auto" w:fill="EFD3D2"/>
          </w:tcPr>
          <w:p w:rsidR="00397597" w:rsidRPr="00F64639" w:rsidRDefault="00397597" w:rsidP="002F783E">
            <w:pPr>
              <w:pStyle w:val="HUNNormal"/>
              <w:jc w:val="center"/>
              <w:rPr>
                <w:sz w:val="18"/>
                <w:szCs w:val="18"/>
              </w:rPr>
            </w:pPr>
            <w:r w:rsidRPr="00F64639">
              <w:rPr>
                <w:sz w:val="18"/>
                <w:szCs w:val="18"/>
              </w:rPr>
              <w:t>2,95% magyar származású</w:t>
            </w:r>
          </w:p>
        </w:tc>
      </w:tr>
      <w:tr w:rsidR="000E2F1A" w:rsidRPr="00F64639" w:rsidTr="002F783E">
        <w:tc>
          <w:tcPr>
            <w:tcW w:w="1116" w:type="pct"/>
            <w:tcBorders>
              <w:top w:val="single" w:sz="8" w:space="0" w:color="FFFFFF"/>
              <w:left w:val="single" w:sz="8" w:space="0" w:color="FFFFFF"/>
              <w:bottom w:val="nil"/>
              <w:right w:val="single" w:sz="24" w:space="0" w:color="FFFFFF"/>
            </w:tcBorders>
            <w:shd w:val="clear" w:color="auto" w:fill="C0504D"/>
          </w:tcPr>
          <w:p w:rsidR="00397597" w:rsidRPr="00F64639" w:rsidRDefault="00397597" w:rsidP="002F783E">
            <w:pPr>
              <w:pStyle w:val="HUNNormal"/>
              <w:jc w:val="center"/>
              <w:rPr>
                <w:b/>
                <w:bCs/>
                <w:i/>
                <w:color w:val="FFFFFF"/>
                <w:sz w:val="18"/>
                <w:szCs w:val="18"/>
              </w:rPr>
            </w:pPr>
            <w:r w:rsidRPr="00F64639">
              <w:rPr>
                <w:b/>
                <w:bCs/>
                <w:i/>
                <w:color w:val="FFFFFF"/>
                <w:sz w:val="18"/>
                <w:szCs w:val="18"/>
              </w:rPr>
              <w:t>Kertészeti üzemek</w:t>
            </w:r>
          </w:p>
        </w:tc>
        <w:tc>
          <w:tcPr>
            <w:tcW w:w="1133"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jc w:val="center"/>
              <w:rPr>
                <w:rFonts w:cs="Calibri"/>
                <w:bCs/>
                <w:color w:val="000000"/>
                <w:sz w:val="18"/>
                <w:szCs w:val="18"/>
              </w:rPr>
            </w:pPr>
            <w:r w:rsidRPr="00F64639">
              <w:rPr>
                <w:rFonts w:cs="Calibri"/>
                <w:bCs/>
                <w:color w:val="000000"/>
                <w:sz w:val="18"/>
                <w:szCs w:val="18"/>
              </w:rPr>
              <w:t>14 316 639 433 Ft</w:t>
            </w:r>
          </w:p>
        </w:tc>
        <w:tc>
          <w:tcPr>
            <w:tcW w:w="1501"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jc w:val="center"/>
              <w:rPr>
                <w:rFonts w:cs="Calibri"/>
                <w:color w:val="000000"/>
                <w:sz w:val="18"/>
                <w:szCs w:val="18"/>
              </w:rPr>
            </w:pPr>
            <w:r w:rsidRPr="00F64639">
              <w:rPr>
                <w:rFonts w:cs="Calibri"/>
                <w:color w:val="000000"/>
                <w:sz w:val="18"/>
                <w:szCs w:val="18"/>
              </w:rPr>
              <w:t>2 863 327 887 Ft</w:t>
            </w:r>
          </w:p>
        </w:tc>
        <w:tc>
          <w:tcPr>
            <w:tcW w:w="1250"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pStyle w:val="HUNNormal"/>
              <w:jc w:val="center"/>
              <w:rPr>
                <w:sz w:val="18"/>
                <w:szCs w:val="18"/>
              </w:rPr>
            </w:pPr>
            <w:r w:rsidRPr="00F64639">
              <w:rPr>
                <w:sz w:val="18"/>
                <w:szCs w:val="18"/>
              </w:rPr>
              <w:t>-</w:t>
            </w:r>
          </w:p>
        </w:tc>
      </w:tr>
      <w:tr w:rsidR="000E2F1A" w:rsidRPr="00F64639" w:rsidTr="002F783E">
        <w:tc>
          <w:tcPr>
            <w:tcW w:w="1116" w:type="pct"/>
            <w:tcBorders>
              <w:left w:val="single" w:sz="8" w:space="0" w:color="FFFFFF"/>
              <w:bottom w:val="nil"/>
              <w:right w:val="single" w:sz="24" w:space="0" w:color="FFFFFF"/>
            </w:tcBorders>
            <w:shd w:val="clear" w:color="auto" w:fill="C0504D"/>
          </w:tcPr>
          <w:p w:rsidR="00397597" w:rsidRPr="00F64639" w:rsidRDefault="00397597" w:rsidP="002F783E">
            <w:pPr>
              <w:pStyle w:val="HUNNormal"/>
              <w:jc w:val="center"/>
              <w:rPr>
                <w:b/>
                <w:bCs/>
                <w:i/>
                <w:color w:val="FFFFFF"/>
                <w:sz w:val="18"/>
                <w:szCs w:val="18"/>
              </w:rPr>
            </w:pPr>
            <w:r w:rsidRPr="00F64639">
              <w:rPr>
                <w:b/>
                <w:bCs/>
                <w:i/>
                <w:color w:val="FFFFFF"/>
                <w:sz w:val="18"/>
                <w:szCs w:val="18"/>
              </w:rPr>
              <w:t>Öntözés</w:t>
            </w:r>
          </w:p>
        </w:tc>
        <w:tc>
          <w:tcPr>
            <w:tcW w:w="1133" w:type="pct"/>
            <w:shd w:val="clear" w:color="auto" w:fill="EFD3D2"/>
          </w:tcPr>
          <w:p w:rsidR="00397597" w:rsidRPr="00F64639" w:rsidRDefault="00397597" w:rsidP="002F783E">
            <w:pPr>
              <w:jc w:val="center"/>
              <w:rPr>
                <w:rFonts w:cs="Calibri"/>
                <w:bCs/>
                <w:color w:val="000000"/>
                <w:sz w:val="18"/>
                <w:szCs w:val="18"/>
              </w:rPr>
            </w:pPr>
            <w:r w:rsidRPr="00F64639">
              <w:rPr>
                <w:rFonts w:cs="Calibri"/>
                <w:bCs/>
                <w:color w:val="000000"/>
                <w:sz w:val="18"/>
                <w:szCs w:val="18"/>
              </w:rPr>
              <w:t>8 256 911 322 Ft</w:t>
            </w:r>
          </w:p>
        </w:tc>
        <w:tc>
          <w:tcPr>
            <w:tcW w:w="1501" w:type="pct"/>
            <w:shd w:val="clear" w:color="auto" w:fill="EFD3D2"/>
          </w:tcPr>
          <w:p w:rsidR="00397597" w:rsidRPr="00F64639" w:rsidRDefault="00397597" w:rsidP="002F783E">
            <w:pPr>
              <w:jc w:val="center"/>
              <w:rPr>
                <w:rFonts w:cs="Calibri"/>
                <w:color w:val="000000"/>
                <w:sz w:val="18"/>
                <w:szCs w:val="18"/>
              </w:rPr>
            </w:pPr>
            <w:r w:rsidRPr="00F64639">
              <w:rPr>
                <w:rFonts w:cs="Calibri"/>
                <w:color w:val="000000"/>
                <w:sz w:val="18"/>
                <w:szCs w:val="18"/>
              </w:rPr>
              <w:t>1 651 382 264 Ft</w:t>
            </w:r>
          </w:p>
        </w:tc>
        <w:tc>
          <w:tcPr>
            <w:tcW w:w="1250" w:type="pct"/>
            <w:shd w:val="clear" w:color="auto" w:fill="EFD3D2"/>
          </w:tcPr>
          <w:p w:rsidR="00397597" w:rsidRPr="00F64639" w:rsidRDefault="00397597" w:rsidP="002F783E">
            <w:pPr>
              <w:pStyle w:val="HUNNormal"/>
              <w:jc w:val="center"/>
              <w:rPr>
                <w:sz w:val="18"/>
                <w:szCs w:val="18"/>
              </w:rPr>
            </w:pPr>
            <w:r w:rsidRPr="00F64639">
              <w:rPr>
                <w:sz w:val="18"/>
                <w:szCs w:val="18"/>
              </w:rPr>
              <w:t>-</w:t>
            </w:r>
          </w:p>
        </w:tc>
      </w:tr>
      <w:tr w:rsidR="000E2F1A" w:rsidRPr="00F64639" w:rsidTr="002F783E">
        <w:tc>
          <w:tcPr>
            <w:tcW w:w="1116" w:type="pct"/>
            <w:tcBorders>
              <w:top w:val="single" w:sz="8" w:space="0" w:color="FFFFFF"/>
              <w:left w:val="single" w:sz="8" w:space="0" w:color="FFFFFF"/>
              <w:bottom w:val="nil"/>
              <w:right w:val="single" w:sz="24" w:space="0" w:color="FFFFFF"/>
            </w:tcBorders>
            <w:shd w:val="clear" w:color="auto" w:fill="C0504D"/>
          </w:tcPr>
          <w:p w:rsidR="00397597" w:rsidRPr="00F64639" w:rsidRDefault="00397597" w:rsidP="002F783E">
            <w:pPr>
              <w:pStyle w:val="HUNNormal"/>
              <w:jc w:val="center"/>
              <w:rPr>
                <w:b/>
                <w:bCs/>
                <w:i/>
                <w:color w:val="FFFFFF"/>
                <w:sz w:val="18"/>
                <w:szCs w:val="18"/>
              </w:rPr>
            </w:pPr>
            <w:r w:rsidRPr="00F64639">
              <w:rPr>
                <w:b/>
                <w:bCs/>
                <w:i/>
                <w:color w:val="FFFFFF"/>
                <w:sz w:val="18"/>
                <w:szCs w:val="18"/>
              </w:rPr>
              <w:t>Szárítók</w:t>
            </w:r>
          </w:p>
        </w:tc>
        <w:tc>
          <w:tcPr>
            <w:tcW w:w="1133"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jc w:val="center"/>
              <w:rPr>
                <w:rFonts w:cs="Calibri"/>
                <w:bCs/>
                <w:color w:val="000000"/>
                <w:sz w:val="18"/>
                <w:szCs w:val="18"/>
              </w:rPr>
            </w:pPr>
            <w:r w:rsidRPr="00F64639">
              <w:rPr>
                <w:rFonts w:cs="Calibri"/>
                <w:bCs/>
                <w:color w:val="000000"/>
                <w:sz w:val="18"/>
                <w:szCs w:val="18"/>
              </w:rPr>
              <w:t>30 235 113 606 Ft</w:t>
            </w:r>
          </w:p>
        </w:tc>
        <w:tc>
          <w:tcPr>
            <w:tcW w:w="1501"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jc w:val="center"/>
              <w:rPr>
                <w:rFonts w:cs="Calibri"/>
                <w:color w:val="000000"/>
                <w:sz w:val="18"/>
                <w:szCs w:val="18"/>
              </w:rPr>
            </w:pPr>
            <w:r w:rsidRPr="00F64639">
              <w:rPr>
                <w:rFonts w:cs="Calibri"/>
                <w:color w:val="000000"/>
                <w:sz w:val="18"/>
                <w:szCs w:val="18"/>
              </w:rPr>
              <w:t>6 047 022 721 Ft</w:t>
            </w:r>
          </w:p>
        </w:tc>
        <w:tc>
          <w:tcPr>
            <w:tcW w:w="1250" w:type="pct"/>
            <w:tcBorders>
              <w:top w:val="single" w:sz="8" w:space="0" w:color="FFFFFF"/>
              <w:left w:val="single" w:sz="8" w:space="0" w:color="FFFFFF"/>
              <w:bottom w:val="single" w:sz="8" w:space="0" w:color="FFFFFF"/>
              <w:right w:val="single" w:sz="8" w:space="0" w:color="FFFFFF"/>
            </w:tcBorders>
            <w:shd w:val="clear" w:color="auto" w:fill="DFA7A6"/>
          </w:tcPr>
          <w:p w:rsidR="00397597" w:rsidRPr="00F64639" w:rsidRDefault="00397597" w:rsidP="002F783E">
            <w:pPr>
              <w:pStyle w:val="HUNNormal"/>
              <w:jc w:val="center"/>
              <w:rPr>
                <w:sz w:val="18"/>
                <w:szCs w:val="18"/>
              </w:rPr>
            </w:pPr>
            <w:r w:rsidRPr="00F64639">
              <w:rPr>
                <w:sz w:val="18"/>
                <w:szCs w:val="18"/>
              </w:rPr>
              <w:t>-</w:t>
            </w:r>
          </w:p>
        </w:tc>
      </w:tr>
      <w:tr w:rsidR="000E2F1A" w:rsidRPr="00F64639" w:rsidTr="002F783E">
        <w:tc>
          <w:tcPr>
            <w:tcW w:w="1116" w:type="pct"/>
            <w:tcBorders>
              <w:left w:val="single" w:sz="8" w:space="0" w:color="FFFFFF"/>
              <w:right w:val="single" w:sz="24" w:space="0" w:color="FFFFFF"/>
            </w:tcBorders>
            <w:shd w:val="clear" w:color="auto" w:fill="C0504D"/>
          </w:tcPr>
          <w:p w:rsidR="00397597" w:rsidRPr="00F64639" w:rsidRDefault="00397597" w:rsidP="002F783E">
            <w:pPr>
              <w:pStyle w:val="HUNNormal"/>
              <w:jc w:val="center"/>
              <w:rPr>
                <w:b/>
                <w:bCs/>
                <w:i/>
                <w:color w:val="FFFFFF"/>
                <w:sz w:val="18"/>
                <w:szCs w:val="18"/>
              </w:rPr>
            </w:pPr>
            <w:r w:rsidRPr="00F64639">
              <w:rPr>
                <w:b/>
                <w:bCs/>
                <w:i/>
                <w:color w:val="FFFFFF"/>
                <w:sz w:val="18"/>
                <w:szCs w:val="18"/>
              </w:rPr>
              <w:t>Összesen</w:t>
            </w:r>
          </w:p>
        </w:tc>
        <w:tc>
          <w:tcPr>
            <w:tcW w:w="1133" w:type="pct"/>
            <w:shd w:val="clear" w:color="auto" w:fill="EFD3D2"/>
            <w:vAlign w:val="bottom"/>
          </w:tcPr>
          <w:p w:rsidR="00397597" w:rsidRPr="00F64639" w:rsidRDefault="00397597" w:rsidP="002F783E">
            <w:pPr>
              <w:jc w:val="right"/>
              <w:rPr>
                <w:rFonts w:cs="Calibri"/>
                <w:b/>
                <w:color w:val="000000"/>
              </w:rPr>
            </w:pPr>
            <w:r w:rsidRPr="00F64639">
              <w:rPr>
                <w:rFonts w:cs="Calibri"/>
                <w:b/>
                <w:color w:val="000000"/>
              </w:rPr>
              <w:t>139 485 734 629 Ft</w:t>
            </w:r>
          </w:p>
        </w:tc>
        <w:tc>
          <w:tcPr>
            <w:tcW w:w="1501" w:type="pct"/>
            <w:shd w:val="clear" w:color="auto" w:fill="EFD3D2"/>
            <w:vAlign w:val="bottom"/>
          </w:tcPr>
          <w:p w:rsidR="00397597" w:rsidRPr="00F64639" w:rsidRDefault="00397597" w:rsidP="002F783E">
            <w:pPr>
              <w:jc w:val="right"/>
              <w:rPr>
                <w:rFonts w:cs="Calibri"/>
                <w:b/>
                <w:color w:val="000000"/>
              </w:rPr>
            </w:pPr>
            <w:r w:rsidRPr="00F64639">
              <w:rPr>
                <w:rFonts w:cs="Calibri"/>
                <w:b/>
                <w:color w:val="000000"/>
              </w:rPr>
              <w:t>27 897 146 925 Ft</w:t>
            </w:r>
          </w:p>
        </w:tc>
        <w:tc>
          <w:tcPr>
            <w:tcW w:w="1250" w:type="pct"/>
            <w:shd w:val="clear" w:color="auto" w:fill="EFD3D2"/>
          </w:tcPr>
          <w:p w:rsidR="00397597" w:rsidRPr="00F64639" w:rsidRDefault="00397597" w:rsidP="002F783E">
            <w:pPr>
              <w:pStyle w:val="HUNNormal"/>
              <w:keepNext/>
              <w:jc w:val="center"/>
              <w:rPr>
                <w:b/>
                <w:i/>
                <w:sz w:val="18"/>
                <w:szCs w:val="18"/>
              </w:rPr>
            </w:pPr>
            <w:r w:rsidRPr="00F64639">
              <w:rPr>
                <w:b/>
                <w:i/>
                <w:sz w:val="18"/>
                <w:szCs w:val="18"/>
              </w:rPr>
              <w:t>-</w:t>
            </w:r>
          </w:p>
        </w:tc>
      </w:tr>
    </w:tbl>
    <w:p w:rsidR="00397597" w:rsidRPr="00F64639" w:rsidRDefault="00075A29" w:rsidP="00397597">
      <w:pPr>
        <w:pStyle w:val="Caption"/>
        <w:spacing w:before="240"/>
        <w:jc w:val="center"/>
        <w:rPr>
          <w:color w:val="auto"/>
        </w:rPr>
      </w:pPr>
      <w:r w:rsidRPr="00F64639">
        <w:rPr>
          <w:color w:val="auto"/>
        </w:rPr>
        <w:fldChar w:fldCharType="begin"/>
      </w:r>
      <w:r w:rsidR="00397597" w:rsidRPr="00F64639">
        <w:rPr>
          <w:color w:val="auto"/>
        </w:rPr>
        <w:instrText xml:space="preserve"> SEQ táblázat \* ARABIC </w:instrText>
      </w:r>
      <w:r w:rsidRPr="00F64639">
        <w:rPr>
          <w:color w:val="auto"/>
        </w:rPr>
        <w:fldChar w:fldCharType="separate"/>
      </w:r>
      <w:r w:rsidR="00E30745" w:rsidRPr="00F64639">
        <w:rPr>
          <w:noProof/>
          <w:color w:val="auto"/>
        </w:rPr>
        <w:t>19</w:t>
      </w:r>
      <w:r w:rsidRPr="00F64639">
        <w:rPr>
          <w:color w:val="auto"/>
        </w:rPr>
        <w:fldChar w:fldCharType="end"/>
      </w:r>
      <w:r w:rsidR="00397597" w:rsidRPr="00F64639">
        <w:rPr>
          <w:color w:val="auto"/>
        </w:rPr>
        <w:t xml:space="preserve">. táblázat: Az </w:t>
      </w:r>
      <w:proofErr w:type="spellStart"/>
      <w:r w:rsidR="00397597" w:rsidRPr="00F64639">
        <w:rPr>
          <w:color w:val="auto"/>
        </w:rPr>
        <w:t>alintézkedésben</w:t>
      </w:r>
      <w:proofErr w:type="spellEnd"/>
      <w:r w:rsidR="00397597" w:rsidRPr="00F64639">
        <w:rPr>
          <w:color w:val="auto"/>
        </w:rPr>
        <w:t xml:space="preserve"> támogatott projektek ÁFA bevétel potenciálja</w:t>
      </w:r>
    </w:p>
    <w:p w:rsidR="00231100" w:rsidRPr="00F64639" w:rsidRDefault="00231100" w:rsidP="00075D7F">
      <w:pPr>
        <w:autoSpaceDE w:val="0"/>
        <w:autoSpaceDN w:val="0"/>
        <w:adjustRightInd w:val="0"/>
        <w:jc w:val="both"/>
      </w:pPr>
      <w:r w:rsidRPr="00F64639">
        <w:lastRenderedPageBreak/>
        <w:t>A táblázat alapján megállapítható, hogy a közvetlen a</w:t>
      </w:r>
      <w:r w:rsidR="00E66A4E" w:rsidRPr="00F64639">
        <w:t>z adópotenciál valós</w:t>
      </w:r>
      <w:r w:rsidRPr="00F64639">
        <w:t xml:space="preserve">, de a költségvetés szempontjából kisebb tétel </w:t>
      </w:r>
      <w:r w:rsidR="00E66A4E" w:rsidRPr="00F64639">
        <w:t xml:space="preserve">(főleg mert több év között oszlott meg) </w:t>
      </w:r>
      <w:r w:rsidRPr="00F64639">
        <w:t>és a beszerzések valóban rontották a külkereskedelmi mérleget</w:t>
      </w:r>
      <w:r w:rsidR="005677AB" w:rsidRPr="00F64639">
        <w:t xml:space="preserve"> (magas az import arány)</w:t>
      </w:r>
      <w:r w:rsidRPr="00F64639">
        <w:t>.</w:t>
      </w:r>
    </w:p>
    <w:p w:rsidR="00CE279B" w:rsidRPr="00F64639" w:rsidRDefault="00AC1FD2" w:rsidP="00E60698">
      <w:pPr>
        <w:pStyle w:val="HUNHeading4"/>
        <w:ind w:hanging="1728"/>
      </w:pPr>
      <w:r w:rsidRPr="00F64639">
        <w:t>Állattartó telepek k</w:t>
      </w:r>
      <w:r w:rsidR="00672E5F" w:rsidRPr="00F64639">
        <w:t>orszer</w:t>
      </w:r>
      <w:r w:rsidRPr="00F64639">
        <w:t>űsítése</w:t>
      </w:r>
    </w:p>
    <w:p w:rsidR="00E42ED0" w:rsidRPr="00F64639" w:rsidRDefault="00E42ED0" w:rsidP="00E42ED0">
      <w:pPr>
        <w:pStyle w:val="HUNNormal"/>
        <w:tabs>
          <w:tab w:val="left" w:pos="709"/>
        </w:tabs>
      </w:pPr>
      <w:r w:rsidRPr="00F64639">
        <w:t xml:space="preserve">Az </w:t>
      </w:r>
      <w:r w:rsidRPr="00F64639">
        <w:rPr>
          <w:b/>
        </w:rPr>
        <w:t>Állattartó telepek korszerűsítése</w:t>
      </w:r>
      <w:r w:rsidRPr="00F64639">
        <w:t xml:space="preserve"> jogcím célja az állattartó</w:t>
      </w:r>
      <w:r w:rsidR="001E58AD" w:rsidRPr="00F64639">
        <w:t xml:space="preserve"> </w:t>
      </w:r>
      <w:r w:rsidRPr="00F64639">
        <w:t xml:space="preserve">telepek </w:t>
      </w:r>
      <w:r w:rsidR="008174BF" w:rsidRPr="00F64639">
        <w:t>fejlesztése</w:t>
      </w:r>
      <w:r w:rsidRPr="00F64639">
        <w:t xml:space="preserve"> annak érdekében, hogy a </w:t>
      </w:r>
      <w:r w:rsidR="00D42ECE" w:rsidRPr="00F64639">
        <w:t>telep</w:t>
      </w:r>
      <w:r w:rsidR="008174BF" w:rsidRPr="00F64639">
        <w:t>hely</w:t>
      </w:r>
      <w:r w:rsidR="00D42ECE" w:rsidRPr="00F64639">
        <w:t xml:space="preserve"> megfeleljen a trágyaelhelyezéssel kapcsolatos előírásoknak, javuljon </w:t>
      </w:r>
      <w:r w:rsidR="008174BF" w:rsidRPr="00F64639">
        <w:t>a</w:t>
      </w:r>
      <w:r w:rsidR="00D42ECE" w:rsidRPr="00F64639">
        <w:t xml:space="preserve"> telepek takarmányozási, illetve műszaki színvonala, állategészségügyi és élelmiszerbiztonsági helyzete, infrastruktúrája, valamint az </w:t>
      </w:r>
      <w:r w:rsidR="008174BF" w:rsidRPr="00F64639">
        <w:t>ott</w:t>
      </w:r>
      <w:r w:rsidR="00D42ECE" w:rsidRPr="00F64639">
        <w:t xml:space="preserve"> dolgozók munkakörülménye és munkahatékonysága. A jogcímet 3 körben hirdették meg (ÁTK I-II-III.).</w:t>
      </w:r>
    </w:p>
    <w:p w:rsidR="00E42ED0" w:rsidRPr="00F64639" w:rsidRDefault="00E42ED0" w:rsidP="00E42ED0">
      <w:pPr>
        <w:pStyle w:val="HUNNormal"/>
      </w:pPr>
      <w:r w:rsidRPr="00F64639">
        <w:t xml:space="preserve">A következő táblázat szemlélteti a jogcím főbb </w:t>
      </w:r>
      <w:proofErr w:type="gramStart"/>
      <w:r w:rsidRPr="00F64639">
        <w:t>adatait</w:t>
      </w:r>
      <w:r w:rsidRPr="00F64639">
        <w:rPr>
          <w:vertAlign w:val="superscript"/>
        </w:rPr>
        <w:footnoteReference w:id="61"/>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E42ED0"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E42ED0" w:rsidRPr="00F64639" w:rsidRDefault="001E58AD" w:rsidP="000B0E4C">
            <w:pPr>
              <w:jc w:val="center"/>
              <w:rPr>
                <w:b/>
                <w:bCs/>
                <w:iCs/>
                <w:color w:val="FFFFFF"/>
                <w:szCs w:val="22"/>
              </w:rPr>
            </w:pPr>
            <w:r w:rsidRPr="00F64639">
              <w:rPr>
                <w:b/>
                <w:bCs/>
                <w:iCs/>
                <w:color w:val="FFFFFF"/>
                <w:szCs w:val="22"/>
              </w:rPr>
              <w:t>ÁTK</w:t>
            </w:r>
          </w:p>
        </w:tc>
      </w:tr>
      <w:tr w:rsidR="00E42ED0"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E42ED0" w:rsidRPr="00F64639" w:rsidRDefault="00A811C4" w:rsidP="000B0E4C">
            <w:pPr>
              <w:jc w:val="center"/>
              <w:rPr>
                <w:rFonts w:cs="Arial"/>
                <w:sz w:val="18"/>
                <w:szCs w:val="18"/>
              </w:rPr>
            </w:pPr>
            <w:r w:rsidRPr="00F64639">
              <w:rPr>
                <w:iCs/>
                <w:szCs w:val="22"/>
              </w:rPr>
              <w:t>intézkedés szinten került meghatározásra</w:t>
            </w:r>
          </w:p>
        </w:tc>
      </w:tr>
      <w:tr w:rsidR="00E42ED0" w:rsidRPr="00F64639" w:rsidTr="000B0E4C">
        <w:tc>
          <w:tcPr>
            <w:tcW w:w="2778" w:type="pct"/>
            <w:tcBorders>
              <w:left w:val="single" w:sz="8" w:space="0" w:color="FFFFFF"/>
              <w:bottom w:val="nil"/>
              <w:right w:val="single" w:sz="24"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E42ED0" w:rsidRPr="00F64639" w:rsidRDefault="004F6E46" w:rsidP="000B0E4C">
            <w:pPr>
              <w:jc w:val="center"/>
              <w:rPr>
                <w:iCs/>
                <w:szCs w:val="22"/>
              </w:rPr>
            </w:pPr>
            <w:r w:rsidRPr="00F64639">
              <w:rPr>
                <w:iCs/>
                <w:szCs w:val="22"/>
              </w:rPr>
              <w:t>1</w:t>
            </w:r>
            <w:r w:rsidR="00803C26" w:rsidRPr="00F64639">
              <w:rPr>
                <w:iCs/>
                <w:szCs w:val="22"/>
              </w:rPr>
              <w:t>348</w:t>
            </w:r>
            <w:r w:rsidRPr="00F64639">
              <w:rPr>
                <w:iCs/>
                <w:szCs w:val="22"/>
              </w:rPr>
              <w:t xml:space="preserve"> db</w:t>
            </w:r>
          </w:p>
        </w:tc>
      </w:tr>
      <w:tr w:rsidR="00E42ED0"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E42ED0" w:rsidRPr="00F64639" w:rsidRDefault="00A24B64" w:rsidP="000B0E4C">
            <w:pPr>
              <w:jc w:val="center"/>
              <w:rPr>
                <w:iCs/>
                <w:szCs w:val="22"/>
              </w:rPr>
            </w:pPr>
            <w:r w:rsidRPr="00F64639">
              <w:rPr>
                <w:iCs/>
                <w:szCs w:val="22"/>
              </w:rPr>
              <w:t>1761 db</w:t>
            </w:r>
          </w:p>
        </w:tc>
      </w:tr>
      <w:tr w:rsidR="00E42ED0" w:rsidRPr="00F64639" w:rsidTr="000B0E4C">
        <w:tc>
          <w:tcPr>
            <w:tcW w:w="2778" w:type="pct"/>
            <w:tcBorders>
              <w:left w:val="single" w:sz="8" w:space="0" w:color="FFFFFF"/>
              <w:bottom w:val="nil"/>
              <w:right w:val="single" w:sz="24"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E42ED0" w:rsidRPr="00F64639" w:rsidRDefault="00803C26" w:rsidP="000B0E4C">
            <w:pPr>
              <w:jc w:val="center"/>
              <w:rPr>
                <w:iCs/>
                <w:szCs w:val="22"/>
              </w:rPr>
            </w:pPr>
            <w:r w:rsidRPr="00F64639">
              <w:rPr>
                <w:iCs/>
                <w:szCs w:val="22"/>
              </w:rPr>
              <w:t>2168 db</w:t>
            </w:r>
          </w:p>
        </w:tc>
      </w:tr>
      <w:tr w:rsidR="00E42ED0"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E42ED0" w:rsidRPr="00F64639" w:rsidRDefault="00803C26" w:rsidP="000B0E4C">
            <w:pPr>
              <w:jc w:val="center"/>
              <w:rPr>
                <w:iCs/>
                <w:szCs w:val="22"/>
              </w:rPr>
            </w:pPr>
            <w:r w:rsidRPr="00F64639">
              <w:rPr>
                <w:iCs/>
                <w:szCs w:val="22"/>
              </w:rPr>
              <w:t>212 042 027 803</w:t>
            </w:r>
            <w:r w:rsidR="00E42ED0" w:rsidRPr="00F64639">
              <w:rPr>
                <w:iCs/>
                <w:szCs w:val="22"/>
              </w:rPr>
              <w:t xml:space="preserve"> Ft</w:t>
            </w:r>
            <w:r w:rsidR="00E42ED0" w:rsidRPr="00F64639">
              <w:rPr>
                <w:rStyle w:val="FootnoteReference"/>
                <w:iCs/>
                <w:szCs w:val="22"/>
              </w:rPr>
              <w:footnoteReference w:id="62"/>
            </w:r>
          </w:p>
        </w:tc>
      </w:tr>
      <w:tr w:rsidR="00E42ED0" w:rsidRPr="00F64639" w:rsidTr="000B0E4C">
        <w:tc>
          <w:tcPr>
            <w:tcW w:w="2778" w:type="pct"/>
            <w:tcBorders>
              <w:left w:val="single" w:sz="8" w:space="0" w:color="FFFFFF"/>
              <w:right w:val="single" w:sz="24" w:space="0" w:color="FFFFFF"/>
            </w:tcBorders>
            <w:shd w:val="clear" w:color="auto" w:fill="C0504D"/>
          </w:tcPr>
          <w:p w:rsidR="00E42ED0" w:rsidRPr="00F64639" w:rsidRDefault="00E42ED0"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E42ED0" w:rsidRPr="00F64639" w:rsidRDefault="00803C26" w:rsidP="000B0E4C">
            <w:pPr>
              <w:jc w:val="center"/>
              <w:rPr>
                <w:iCs/>
                <w:szCs w:val="22"/>
              </w:rPr>
            </w:pPr>
            <w:r w:rsidRPr="00F64639">
              <w:rPr>
                <w:iCs/>
                <w:szCs w:val="22"/>
              </w:rPr>
              <w:t>75 546 714 023</w:t>
            </w:r>
            <w:r w:rsidR="00E42ED0" w:rsidRPr="00F64639">
              <w:rPr>
                <w:iCs/>
                <w:szCs w:val="22"/>
              </w:rPr>
              <w:t xml:space="preserve"> Ft</w:t>
            </w:r>
            <w:r w:rsidR="00E42ED0" w:rsidRPr="00F64639">
              <w:rPr>
                <w:rStyle w:val="FootnoteReference"/>
                <w:iCs/>
                <w:szCs w:val="22"/>
              </w:rPr>
              <w:footnoteReference w:id="63"/>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20</w:t>
      </w:r>
      <w:r w:rsidRPr="00F64639">
        <w:rPr>
          <w:color w:val="auto"/>
        </w:rPr>
        <w:fldChar w:fldCharType="end"/>
      </w:r>
      <w:r w:rsidR="00AB435B" w:rsidRPr="00F64639">
        <w:rPr>
          <w:color w:val="auto"/>
        </w:rPr>
        <w:t>. táblázat: A jogcím általános jellemzői</w:t>
      </w:r>
    </w:p>
    <w:p w:rsidR="00A811C4" w:rsidRPr="00F64639" w:rsidRDefault="00CD5E38" w:rsidP="00E42ED0">
      <w:pPr>
        <w:pStyle w:val="HUNNormal"/>
        <w:tabs>
          <w:tab w:val="left" w:pos="709"/>
        </w:tabs>
      </w:pPr>
      <w:r w:rsidRPr="00F64639">
        <w:t xml:space="preserve">A jogcím keretében a rendelet mellékleteként meghatározott műszaki tartalomnak megfelelő </w:t>
      </w:r>
      <w:r>
        <w:t>épített, és b</w:t>
      </w:r>
      <w:r>
        <w:t>e</w:t>
      </w:r>
      <w:r>
        <w:t xml:space="preserve">épített technológiai, </w:t>
      </w:r>
      <w:r w:rsidRPr="00F64639">
        <w:t>építési és gépbeszerzési tevékenységekre</w:t>
      </w:r>
      <w:r>
        <w:t>, valamint egyéb elszámolható kiadásokra vonatkozóan</w:t>
      </w:r>
      <w:r w:rsidRPr="00F64639">
        <w:t xml:space="preserve"> lehetett támogatást kérni, három kérelembenyújtási időszakban</w:t>
      </w:r>
      <w:r w:rsidR="00AD44B8" w:rsidRPr="00F64639">
        <w:t>:</w:t>
      </w:r>
    </w:p>
    <w:p w:rsidR="00AD44B8" w:rsidRPr="00F64639" w:rsidRDefault="00AD44B8" w:rsidP="00DF4BBF">
      <w:pPr>
        <w:pStyle w:val="HUNNormal"/>
        <w:numPr>
          <w:ilvl w:val="0"/>
          <w:numId w:val="27"/>
        </w:numPr>
        <w:tabs>
          <w:tab w:val="left" w:pos="709"/>
        </w:tabs>
      </w:pPr>
      <w:r w:rsidRPr="00F64639">
        <w:t>ÁTK I. jogcím: a 2007. április 23. és 2007. május 23. közötti támogatási kérelem benyújtási id</w:t>
      </w:r>
      <w:r w:rsidRPr="00F64639">
        <w:t>ő</w:t>
      </w:r>
      <w:r w:rsidRPr="00F64639">
        <w:t>szak;</w:t>
      </w:r>
    </w:p>
    <w:p w:rsidR="00AD44B8" w:rsidRPr="00F64639" w:rsidRDefault="00AD44B8" w:rsidP="00DF4BBF">
      <w:pPr>
        <w:pStyle w:val="HUNNormal"/>
        <w:numPr>
          <w:ilvl w:val="0"/>
          <w:numId w:val="27"/>
        </w:numPr>
        <w:tabs>
          <w:tab w:val="left" w:pos="709"/>
        </w:tabs>
      </w:pPr>
      <w:r w:rsidRPr="00F64639">
        <w:t>ÁTK II. jogcím: a 2007. augusztus 13. és 2007. szeptember 17. közötti támogatási kérelem benyú</w:t>
      </w:r>
      <w:r w:rsidRPr="00F64639">
        <w:t>j</w:t>
      </w:r>
      <w:r w:rsidRPr="00F64639">
        <w:t>tási időszak;</w:t>
      </w:r>
    </w:p>
    <w:p w:rsidR="00AD44B8" w:rsidRPr="00F64639" w:rsidRDefault="00AD44B8" w:rsidP="00DF4BBF">
      <w:pPr>
        <w:pStyle w:val="HUNNormal"/>
        <w:numPr>
          <w:ilvl w:val="0"/>
          <w:numId w:val="27"/>
        </w:numPr>
        <w:tabs>
          <w:tab w:val="left" w:pos="709"/>
        </w:tabs>
      </w:pPr>
      <w:r w:rsidRPr="00F64639">
        <w:t>ÁTK III. jogcím: a 2009. november 16. és 2009. december 15. közötti támogatási kérelem benyújt</w:t>
      </w:r>
      <w:r w:rsidRPr="00F64639">
        <w:t>á</w:t>
      </w:r>
      <w:r w:rsidRPr="00F64639">
        <w:t>si időszak</w:t>
      </w:r>
      <w:r w:rsidR="00CB4BF1" w:rsidRPr="00F64639">
        <w:t>.</w:t>
      </w:r>
    </w:p>
    <w:p w:rsidR="00323818" w:rsidRPr="00F64639" w:rsidRDefault="00CD5E38" w:rsidP="00E42ED0">
      <w:pPr>
        <w:pStyle w:val="HUNNormal"/>
        <w:tabs>
          <w:tab w:val="left" w:pos="709"/>
        </w:tabs>
      </w:pPr>
      <w:r w:rsidRPr="00F64639">
        <w:t>Az első időszakban kizárólag a trágyakezelésre, elhelyezésre vonatkozó környezetvédelmi előírásoknak me</w:t>
      </w:r>
      <w:r w:rsidRPr="00F64639">
        <w:t>g</w:t>
      </w:r>
      <w:r w:rsidRPr="00F64639">
        <w:t xml:space="preserve">felelő fejlesztésekre, míg a másik kettő időszakban komplex fejlesztésekre lehetett kérelmet benyújtani. Egy kérelmező </w:t>
      </w:r>
      <w:r>
        <w:t>benyújtási időszakonként egy támogatási kérelmet nyújthatott be, akár több telephel</w:t>
      </w:r>
      <w:r>
        <w:t>y</w:t>
      </w:r>
      <w:r>
        <w:t>re/megvalósítási helyre vonatkozóan. Ugyanazon</w:t>
      </w:r>
      <w:r w:rsidRPr="00AD44B8">
        <w:t xml:space="preserve"> megvalósítási </w:t>
      </w:r>
      <w:r>
        <w:t>helyre, ugyanazon támogatási egységre v</w:t>
      </w:r>
      <w:r>
        <w:t>o</w:t>
      </w:r>
      <w:r>
        <w:lastRenderedPageBreak/>
        <w:t xml:space="preserve">natkozóan </w:t>
      </w:r>
      <w:r w:rsidR="00AD44B8" w:rsidRPr="00F64639">
        <w:t xml:space="preserve">az nyújthatott be kérelmet ÁTK </w:t>
      </w:r>
      <w:proofErr w:type="spellStart"/>
      <w:r w:rsidR="00AD44B8" w:rsidRPr="00F64639">
        <w:t>III-ban</w:t>
      </w:r>
      <w:proofErr w:type="spellEnd"/>
      <w:r w:rsidR="00AD44B8" w:rsidRPr="00F64639">
        <w:t xml:space="preserve"> is, akinek ÁTK I., illetve az ÁTK II. </w:t>
      </w:r>
      <w:r w:rsidR="00360967" w:rsidRPr="00F64639">
        <w:t>finanszírozású beruház</w:t>
      </w:r>
      <w:r w:rsidR="00360967" w:rsidRPr="00F64639">
        <w:t>á</w:t>
      </w:r>
      <w:r w:rsidR="0051135A">
        <w:t>sa lezártnak minősült, vagy aki az előző meghirdetési körökben elnyert támogatásáról lemondott.</w:t>
      </w:r>
    </w:p>
    <w:p w:rsidR="00AD44B8" w:rsidRPr="00F64639" w:rsidRDefault="00AD44B8" w:rsidP="00E42ED0">
      <w:pPr>
        <w:pStyle w:val="HUNNormal"/>
        <w:tabs>
          <w:tab w:val="left" w:pos="709"/>
        </w:tabs>
      </w:pPr>
      <w:r w:rsidRPr="00F64639">
        <w:t>A jogcímrendelet a következő célterületeket határozta meg:</w:t>
      </w:r>
    </w:p>
    <w:p w:rsidR="00360967" w:rsidRPr="00F64639" w:rsidRDefault="00AD44B8" w:rsidP="00DF4BBF">
      <w:pPr>
        <w:pStyle w:val="HUNNormal"/>
        <w:numPr>
          <w:ilvl w:val="0"/>
          <w:numId w:val="28"/>
        </w:numPr>
        <w:tabs>
          <w:tab w:val="left" w:pos="709"/>
        </w:tabs>
      </w:pPr>
      <w:r w:rsidRPr="00F64639">
        <w:t>az állattartó telepen képződő trágya kezelését, tárolását, részbeni feldolgozását és felhasználását szolgáló épített és beépített technológiai és infrastruktúra-beruházás megvalósítás</w:t>
      </w:r>
      <w:r w:rsidR="00360967" w:rsidRPr="00F64639">
        <w:t>a</w:t>
      </w:r>
      <w:r w:rsidRPr="00F64639">
        <w:t>;</w:t>
      </w:r>
    </w:p>
    <w:p w:rsidR="00360967" w:rsidRPr="00F64639" w:rsidRDefault="00AD44B8" w:rsidP="00DF4BBF">
      <w:pPr>
        <w:pStyle w:val="HUNNormal"/>
        <w:numPr>
          <w:ilvl w:val="0"/>
          <w:numId w:val="28"/>
        </w:numPr>
        <w:tabs>
          <w:tab w:val="left" w:pos="709"/>
        </w:tabs>
      </w:pPr>
      <w:r w:rsidRPr="00F64639">
        <w:t>állati férőhelyek kialakítását, az állattartás és az állatszállítás minőségének javítását szolgáló épített és beépített technológia és infrastruktúra-beruházás megvalósítás</w:t>
      </w:r>
      <w:r w:rsidR="00360967" w:rsidRPr="00F64639">
        <w:t>a</w:t>
      </w:r>
      <w:r w:rsidRPr="00F64639">
        <w:t>;</w:t>
      </w:r>
    </w:p>
    <w:p w:rsidR="00360967" w:rsidRPr="00F64639" w:rsidRDefault="00AD44B8" w:rsidP="00DF4BBF">
      <w:pPr>
        <w:pStyle w:val="HUNNormal"/>
        <w:numPr>
          <w:ilvl w:val="0"/>
          <w:numId w:val="28"/>
        </w:numPr>
        <w:tabs>
          <w:tab w:val="left" w:pos="709"/>
        </w:tabs>
      </w:pPr>
      <w:r w:rsidRPr="00F64639">
        <w:t>jó minőségű takarmány előállítását, felhasználását, valamint a takarmányminőség megőrzését bi</w:t>
      </w:r>
      <w:r w:rsidRPr="00F64639">
        <w:t>z</w:t>
      </w:r>
      <w:r w:rsidRPr="00F64639">
        <w:t>tosító épített és beépített technológia és infrastruktúra-beruházás megvalósítás</w:t>
      </w:r>
      <w:r w:rsidR="00360967" w:rsidRPr="00F64639">
        <w:t>a</w:t>
      </w:r>
      <w:r w:rsidRPr="00F64639">
        <w:t>;</w:t>
      </w:r>
    </w:p>
    <w:p w:rsidR="00360967" w:rsidRPr="00F64639" w:rsidRDefault="00AD44B8" w:rsidP="00DF4BBF">
      <w:pPr>
        <w:pStyle w:val="HUNNormal"/>
        <w:numPr>
          <w:ilvl w:val="0"/>
          <w:numId w:val="28"/>
        </w:numPr>
        <w:tabs>
          <w:tab w:val="left" w:pos="709"/>
        </w:tabs>
      </w:pPr>
      <w:r w:rsidRPr="00F64639">
        <w:t>az állattartási tevékenységhez kapcsolódó munkafolyamatok elvégzésének minőségét javító épített és beépített technológia beruházások megvalósítás</w:t>
      </w:r>
      <w:r w:rsidR="00360967" w:rsidRPr="00F64639">
        <w:t>a</w:t>
      </w:r>
      <w:r w:rsidRPr="00F64639">
        <w:t>;</w:t>
      </w:r>
    </w:p>
    <w:p w:rsidR="00AD44B8" w:rsidRPr="00F64639" w:rsidRDefault="00AD44B8" w:rsidP="00DF4BBF">
      <w:pPr>
        <w:pStyle w:val="HUNNormal"/>
        <w:numPr>
          <w:ilvl w:val="0"/>
          <w:numId w:val="28"/>
        </w:numPr>
        <w:tabs>
          <w:tab w:val="left" w:pos="709"/>
        </w:tabs>
      </w:pPr>
      <w:r w:rsidRPr="00F64639">
        <w:t>a telepi állat-egészségügyi helyzetet, illetve a nyomon követhetőséget javító, az állatbetegségek k</w:t>
      </w:r>
      <w:r w:rsidRPr="00F64639">
        <w:t>i</w:t>
      </w:r>
      <w:r w:rsidRPr="00F64639">
        <w:t>alakulását és terjedését megelőző épített és beépített technológia beruházások megvalósítás</w:t>
      </w:r>
      <w:r w:rsidR="00360967" w:rsidRPr="00F64639">
        <w:t>a</w:t>
      </w:r>
      <w:r w:rsidRPr="00F64639">
        <w:t>.</w:t>
      </w:r>
    </w:p>
    <w:p w:rsidR="00CD5E38" w:rsidRDefault="00CD5E38" w:rsidP="00CD5E38">
      <w:pPr>
        <w:pStyle w:val="HUNNormal"/>
        <w:tabs>
          <w:tab w:val="left" w:pos="709"/>
        </w:tabs>
        <w:rPr>
          <w:highlight w:val="yellow"/>
        </w:rPr>
      </w:pPr>
      <w:r w:rsidRPr="00334B39">
        <w:t xml:space="preserve">A támogatás mértéke </w:t>
      </w:r>
      <w:r>
        <w:t>az egyes tevékenységekre eltérő volt:</w:t>
      </w:r>
    </w:p>
    <w:p w:rsidR="00CD5E38" w:rsidRDefault="00CD5E38" w:rsidP="00CD5E38">
      <w:pPr>
        <w:pStyle w:val="HUNNormal"/>
        <w:numPr>
          <w:ilvl w:val="0"/>
          <w:numId w:val="28"/>
        </w:numPr>
        <w:tabs>
          <w:tab w:val="left" w:pos="709"/>
        </w:tabs>
      </w:pPr>
      <w:r>
        <w:t>Gépbeszerzés esetén: a gépkatalógus szerinti referenciaár 40 % - 75%-</w:t>
      </w:r>
      <w:proofErr w:type="gramStart"/>
      <w:r>
        <w:t>a.</w:t>
      </w:r>
      <w:proofErr w:type="gramEnd"/>
      <w:r>
        <w:t xml:space="preserve"> A nem beépített (mobil) gépbeszerzés elszámolható kiadásai nem haladhatják meg a kérelemben szereplő az egyéb elsz</w:t>
      </w:r>
      <w:r>
        <w:t>á</w:t>
      </w:r>
      <w:r>
        <w:t>molható kiadások nélkül számított összes költség 30%-át.</w:t>
      </w:r>
    </w:p>
    <w:p w:rsidR="00CD5E38" w:rsidRDefault="00CD5E38" w:rsidP="00CD5E38">
      <w:pPr>
        <w:pStyle w:val="HUNNormal"/>
        <w:numPr>
          <w:ilvl w:val="0"/>
          <w:numId w:val="28"/>
        </w:numPr>
        <w:tabs>
          <w:tab w:val="left" w:pos="709"/>
        </w:tabs>
      </w:pPr>
      <w:r>
        <w:t>Épített és beépített technológia esetében: az elszámolható kiadás 40 % -75 %-</w:t>
      </w:r>
      <w:proofErr w:type="gramStart"/>
      <w:r>
        <w:t>a.</w:t>
      </w:r>
      <w:proofErr w:type="gramEnd"/>
      <w:r>
        <w:t xml:space="preserve"> Az </w:t>
      </w:r>
      <w:proofErr w:type="gramStart"/>
      <w:r>
        <w:t>ezen</w:t>
      </w:r>
      <w:proofErr w:type="gramEnd"/>
      <w:r>
        <w:t xml:space="preserve"> tevéken</w:t>
      </w:r>
      <w:r>
        <w:t>y</w:t>
      </w:r>
      <w:r>
        <w:t>ségtípus alapján elszámolható kiadásoknak egy kérelemben el kell érniük megvalósítási helyenként az egyéb elszámolható kiadások nélkül számított elszámolható kiadás 50 %-át. A mértéke egy me</w:t>
      </w:r>
      <w:r>
        <w:t>g</w:t>
      </w:r>
      <w:r>
        <w:t xml:space="preserve">valósítási helyen legalább 2.000.000 Ft. </w:t>
      </w:r>
    </w:p>
    <w:p w:rsidR="00CD5E38" w:rsidRDefault="00CD5E38" w:rsidP="00CD5E38">
      <w:pPr>
        <w:pStyle w:val="HUNNormal"/>
        <w:numPr>
          <w:ilvl w:val="0"/>
          <w:numId w:val="28"/>
        </w:numPr>
        <w:tabs>
          <w:tab w:val="left" w:pos="709"/>
        </w:tabs>
      </w:pPr>
      <w:r>
        <w:t>Telepi infrastruktúra fejlesztése esetében: az Építési Normagyűjtemény szerinti referenciaár alapján számított költség 40 % - 75%-</w:t>
      </w:r>
      <w:proofErr w:type="gramStart"/>
      <w:r>
        <w:t>a.</w:t>
      </w:r>
      <w:proofErr w:type="gramEnd"/>
      <w:r>
        <w:t xml:space="preserve"> A vonatkozó elszámolható kiadások nem haladhatják meg a kér</w:t>
      </w:r>
      <w:r>
        <w:t>e</w:t>
      </w:r>
      <w:r>
        <w:t>lemben szereplő az egyéb elszámolható kiadások nélkül számított összes elszámolható költség 30%-át.</w:t>
      </w:r>
    </w:p>
    <w:p w:rsidR="00CD5E38" w:rsidRPr="00D51C98" w:rsidRDefault="00CD5E38" w:rsidP="00CD5E38">
      <w:pPr>
        <w:pStyle w:val="HUNNormal"/>
        <w:tabs>
          <w:tab w:val="left" w:pos="709"/>
        </w:tabs>
      </w:pPr>
      <w:r w:rsidRPr="00D51C98">
        <w:t xml:space="preserve">ÁTK III. jogcím esetében a </w:t>
      </w:r>
      <w:r>
        <w:t xml:space="preserve">támogatás intenzitása 40% - 60 % közötti mérték lehet. </w:t>
      </w:r>
      <w:r w:rsidRPr="00334B39">
        <w:t>Egyéb elszámolható k</w:t>
      </w:r>
      <w:r w:rsidRPr="00334B39">
        <w:t>i</w:t>
      </w:r>
      <w:r w:rsidRPr="00334B39">
        <w:t xml:space="preserve">adások </w:t>
      </w:r>
      <w:r w:rsidR="000E02BE">
        <w:t xml:space="preserve">mértéke </w:t>
      </w:r>
      <w:r w:rsidRPr="00334B39">
        <w:t>(pl.: üzletviteli, pénzügyi tanácsadás, műszaki tervezés, lebonyolítás): tételenként eltérő (2%; 6%; 12%), de összesen legfeljebb az egyéb elszámolható kiadások nélkü</w:t>
      </w:r>
      <w:r w:rsidR="000E02BE">
        <w:t>l számított összes kiadás 12%-a lehetett.</w:t>
      </w:r>
    </w:p>
    <w:p w:rsidR="00323818" w:rsidRDefault="00CD5E38" w:rsidP="00CD5E38">
      <w:pPr>
        <w:pStyle w:val="HUNNormal"/>
        <w:tabs>
          <w:tab w:val="left" w:pos="709"/>
        </w:tabs>
      </w:pPr>
      <w:r>
        <w:t>Az épített és beépített technológiai beruházás tevékenységre vonatkozóan elszámolható kiadás legkisebb összege állattartó telepenként/megvalósítási helyenként 2 000 000 forint volt. Az egy kérelem alapján igénybe vehető támogatás összege megvalósítási helyenként nem haladhatja meg a 2 757 000 eu</w:t>
      </w:r>
      <w:r w:rsidR="000E02BE">
        <w:t>rónak megfelelő forintösszeget.</w:t>
      </w:r>
      <w:r>
        <w:t xml:space="preserve"> A támogatás intenzitása az elszámolható kiadások 40%-</w:t>
      </w:r>
      <w:proofErr w:type="gramStart"/>
      <w:r>
        <w:t>a</w:t>
      </w:r>
      <w:proofErr w:type="gramEnd"/>
      <w:r>
        <w:t>, KAT területen az 50%-a, fiatal gazdálkodó kérelmezők esetében az 50%-a, fiatal, KAT területen gazdálkodó  esetében a 60%-a, a trágya kezelését, tárolását, feldolgozását és felhasználását szolgáló, nitrát érzékeny területen megvalósuló elszámolható kiadások 75%-a (azon projekteknél, amelyek 2008. április 30-ig támogatási határozattal re</w:t>
      </w:r>
      <w:r>
        <w:t>n</w:t>
      </w:r>
      <w:r>
        <w:t>delkeznek.)</w:t>
      </w:r>
      <w:r w:rsidR="000E02BE">
        <w:t xml:space="preserve">. </w:t>
      </w:r>
      <w:r w:rsidR="00323818" w:rsidRPr="00F64639">
        <w:t>A beruházás els</w:t>
      </w:r>
      <w:r w:rsidR="007B03E6" w:rsidRPr="00F64639">
        <w:t>zámolható kiadásai nem haladhatt</w:t>
      </w:r>
      <w:r w:rsidR="00323818" w:rsidRPr="00F64639">
        <w:t>ák meg a támogatási egység és az állatlé</w:t>
      </w:r>
      <w:r w:rsidR="00323818" w:rsidRPr="00F64639">
        <w:t>t</w:t>
      </w:r>
      <w:r w:rsidR="00323818" w:rsidRPr="00F64639">
        <w:t>szám alapján számított, az építési normag</w:t>
      </w:r>
      <w:r w:rsidR="00E77841" w:rsidRPr="00F64639">
        <w:t>yűjteményben, a gépkatalógusban, illetve a jogcímrendelet mellé</w:t>
      </w:r>
      <w:r w:rsidR="00E77841" w:rsidRPr="00F64639">
        <w:t>k</w:t>
      </w:r>
      <w:r w:rsidR="00E77841" w:rsidRPr="00F64639">
        <w:t>letében szereplő</w:t>
      </w:r>
      <w:r w:rsidR="00323818" w:rsidRPr="00F64639">
        <w:t xml:space="preserve"> referenciaárat.</w:t>
      </w:r>
    </w:p>
    <w:p w:rsidR="000E02BE" w:rsidRPr="00F64639" w:rsidRDefault="000E02BE" w:rsidP="00CD5E38">
      <w:pPr>
        <w:pStyle w:val="HUNNormal"/>
        <w:tabs>
          <w:tab w:val="left" w:pos="709"/>
        </w:tabs>
      </w:pPr>
    </w:p>
    <w:p w:rsidR="000E02BE" w:rsidRDefault="000E02BE" w:rsidP="000E02BE">
      <w:pPr>
        <w:pStyle w:val="HUNNormal"/>
        <w:tabs>
          <w:tab w:val="left" w:pos="709"/>
        </w:tabs>
      </w:pPr>
      <w:r w:rsidRPr="00F64639">
        <w:lastRenderedPageBreak/>
        <w:t>A kérelemben kötelezettségeket is kellett vállalni:</w:t>
      </w:r>
    </w:p>
    <w:p w:rsidR="000E02BE" w:rsidRDefault="000E02BE" w:rsidP="000E02BE">
      <w:pPr>
        <w:pStyle w:val="HUNNormal"/>
        <w:numPr>
          <w:ilvl w:val="0"/>
          <w:numId w:val="30"/>
        </w:numPr>
        <w:tabs>
          <w:tab w:val="left" w:pos="709"/>
        </w:tabs>
      </w:pPr>
      <w:r>
        <w:t>az utolsó kifizetési kérelem benyújtása előtt az ÚMVP keretében szervezett kötelező képzése való részvétel;</w:t>
      </w:r>
    </w:p>
    <w:p w:rsidR="000E02BE" w:rsidRPr="00F64639" w:rsidRDefault="000E02BE" w:rsidP="000E02BE">
      <w:pPr>
        <w:pStyle w:val="HUNNormal"/>
        <w:numPr>
          <w:ilvl w:val="0"/>
          <w:numId w:val="30"/>
        </w:numPr>
        <w:tabs>
          <w:tab w:val="left" w:pos="709"/>
        </w:tabs>
      </w:pPr>
      <w:r>
        <w:t>a művelet megvalósításától az üzemeltetési kötelezettség megszűnéséig a támogatási döntés ala</w:t>
      </w:r>
      <w:r>
        <w:t>p</w:t>
      </w:r>
      <w:r>
        <w:t>ját képező állatlétszám szinten tartását;</w:t>
      </w:r>
    </w:p>
    <w:p w:rsidR="000E02BE" w:rsidRPr="00F64639" w:rsidRDefault="000E02BE" w:rsidP="000E02BE">
      <w:pPr>
        <w:pStyle w:val="HUNNormal"/>
        <w:numPr>
          <w:ilvl w:val="0"/>
          <w:numId w:val="30"/>
        </w:numPr>
        <w:tabs>
          <w:tab w:val="left" w:pos="709"/>
        </w:tabs>
      </w:pPr>
      <w:r w:rsidRPr="00F64639">
        <w:t xml:space="preserve">biogáz fejlesztés esetén szarvasmarha, sertés vagy baromfi állatfajokból legalább 200 állategység szinten tartását; </w:t>
      </w:r>
    </w:p>
    <w:p w:rsidR="000E02BE" w:rsidRPr="00F64639" w:rsidRDefault="000E02BE" w:rsidP="000E02BE">
      <w:pPr>
        <w:pStyle w:val="HUNNormal"/>
        <w:numPr>
          <w:ilvl w:val="0"/>
          <w:numId w:val="30"/>
        </w:numPr>
        <w:tabs>
          <w:tab w:val="left" w:pos="709"/>
        </w:tabs>
      </w:pPr>
      <w:r w:rsidRPr="00F64639">
        <w:t>tejtermelési célú szarvasmarhatartással és tehéntej-termeléssel foglalkozóknak tejkvóta rendsze</w:t>
      </w:r>
      <w:r w:rsidRPr="00F64639">
        <w:t>r</w:t>
      </w:r>
      <w:r w:rsidRPr="00F64639">
        <w:t>ben foglalt előírások betartását;</w:t>
      </w:r>
    </w:p>
    <w:p w:rsidR="000E02BE" w:rsidRPr="00F64639" w:rsidRDefault="000E02BE" w:rsidP="000E02BE">
      <w:pPr>
        <w:pStyle w:val="HUNNormal"/>
        <w:numPr>
          <w:ilvl w:val="0"/>
          <w:numId w:val="30"/>
        </w:numPr>
        <w:tabs>
          <w:tab w:val="left" w:pos="709"/>
        </w:tabs>
      </w:pPr>
      <w:r w:rsidRPr="00F64639">
        <w:t>a szarvasmarha, juh, kecske, sertés, és ló fajok tartása esetén az egyes állatfajok egyedeinek ENAR szerinti előírásoknak megfelelő tartását;</w:t>
      </w:r>
    </w:p>
    <w:p w:rsidR="000E02BE" w:rsidRPr="00F64639" w:rsidRDefault="000E02BE" w:rsidP="000E02BE">
      <w:pPr>
        <w:pStyle w:val="HUNNormal"/>
        <w:numPr>
          <w:ilvl w:val="0"/>
          <w:numId w:val="30"/>
        </w:numPr>
        <w:tabs>
          <w:tab w:val="left" w:pos="709"/>
        </w:tabs>
      </w:pPr>
      <w:r w:rsidRPr="00F64639">
        <w:t>állomány-nyilvántartás, illetve legeltetési és állatállomány változási nyilvántartás vezetését.</w:t>
      </w:r>
    </w:p>
    <w:p w:rsidR="000E02BE" w:rsidRPr="00F64639" w:rsidRDefault="000E02BE" w:rsidP="000E02BE">
      <w:pPr>
        <w:pStyle w:val="HUNNormal"/>
        <w:tabs>
          <w:tab w:val="left" w:pos="709"/>
        </w:tabs>
      </w:pPr>
      <w:r w:rsidRPr="00F64639">
        <w:t xml:space="preserve">Az MVH az elbírálás során minden projektnél </w:t>
      </w:r>
      <w:r>
        <w:t xml:space="preserve">előzetes </w:t>
      </w:r>
      <w:r w:rsidRPr="00F64639">
        <w:t xml:space="preserve">helyszíni </w:t>
      </w:r>
      <w:r>
        <w:t>szemlé</w:t>
      </w:r>
      <w:r w:rsidRPr="00F64639">
        <w:t>t tartott.</w:t>
      </w:r>
    </w:p>
    <w:p w:rsidR="006573C2" w:rsidRPr="00F64639" w:rsidRDefault="00A0666D" w:rsidP="006573C2">
      <w:pPr>
        <w:pStyle w:val="HUNNormal"/>
        <w:tabs>
          <w:tab w:val="left" w:pos="709"/>
        </w:tabs>
      </w:pPr>
      <w:r w:rsidRPr="00F64639">
        <w:t>A támogatást objektív szempontok alapján ítélték oda. A bírálati szempontok 20%-a szakmai (TCS tagság, állattartási kötelezettségek teljesítése, IPPC telep besorolás, bioenergia fejlesztés), 65%-a horizontális szempontot képviselt. Utóbbi szempontok a munkahely megőrzés/bővítés; az AKG támogatás tényét, a há</w:t>
      </w:r>
      <w:r w:rsidRPr="00F64639">
        <w:t>t</w:t>
      </w:r>
      <w:r w:rsidRPr="00F64639">
        <w:t xml:space="preserve">rányos helyzetű térségeket, </w:t>
      </w:r>
      <w:r w:rsidR="00CC3655" w:rsidRPr="00F64639">
        <w:t>nőket (a pályázó nő, vagy foglalkoztat női alkalmazottat), a roma származású</w:t>
      </w:r>
      <w:r w:rsidR="00CC3655" w:rsidRPr="00F64639">
        <w:t>a</w:t>
      </w:r>
      <w:r w:rsidR="00CC3655" w:rsidRPr="00F64639">
        <w:t>kat (a pályázó roma, vagy foglalkoztat roma alkalmazottat)</w:t>
      </w:r>
      <w:r w:rsidRPr="00F64639">
        <w:t>, a reális üzleti tervet és a gazdasági vállalásokat (árbevétel, termelékenység) kívánták preferálni.</w:t>
      </w:r>
      <w:r w:rsidR="006573C2" w:rsidRPr="00F64639">
        <w:t xml:space="preserve"> A horizontális szempontok érvényesülésének ellenőrzésekor a következő képet kaptuk:</w:t>
      </w:r>
    </w:p>
    <w:p w:rsidR="006573C2" w:rsidRPr="00F64639" w:rsidRDefault="006573C2" w:rsidP="006573C2">
      <w:pPr>
        <w:pStyle w:val="HUNNormal"/>
        <w:numPr>
          <w:ilvl w:val="0"/>
          <w:numId w:val="32"/>
        </w:numPr>
        <w:tabs>
          <w:tab w:val="left" w:pos="709"/>
        </w:tabs>
      </w:pPr>
      <w:r w:rsidRPr="00F64639">
        <w:rPr>
          <w:b/>
          <w:i/>
        </w:rPr>
        <w:t>Munkahelymegőrzés/teremtés</w:t>
      </w:r>
      <w:r w:rsidRPr="00F64639">
        <w:t xml:space="preserve">: </w:t>
      </w:r>
      <w:r w:rsidR="005C2FD6" w:rsidRPr="00F64639">
        <w:t xml:space="preserve">a </w:t>
      </w:r>
      <w:r w:rsidR="00397597" w:rsidRPr="00F64639">
        <w:t xml:space="preserve">potenciálelemzésnél </w:t>
      </w:r>
      <w:r w:rsidR="005C2FD6" w:rsidRPr="00F64639">
        <w:t>részletesen bemutatjuk</w:t>
      </w:r>
      <w:r w:rsidRPr="00F64639">
        <w:t>.</w:t>
      </w:r>
    </w:p>
    <w:p w:rsidR="006573C2" w:rsidRPr="00F64639" w:rsidRDefault="006573C2" w:rsidP="006573C2">
      <w:pPr>
        <w:pStyle w:val="HUNNormal"/>
        <w:numPr>
          <w:ilvl w:val="0"/>
          <w:numId w:val="32"/>
        </w:numPr>
        <w:tabs>
          <w:tab w:val="left" w:pos="709"/>
        </w:tabs>
      </w:pPr>
      <w:r w:rsidRPr="00F64639">
        <w:rPr>
          <w:b/>
          <w:i/>
        </w:rPr>
        <w:t>AKG támogatás</w:t>
      </w:r>
      <w:r w:rsidRPr="00F64639">
        <w:t xml:space="preserve"> </w:t>
      </w:r>
      <w:proofErr w:type="gramStart"/>
      <w:r w:rsidRPr="00F64639">
        <w:t>ténye</w:t>
      </w:r>
      <w:r w:rsidRPr="00F64639">
        <w:rPr>
          <w:rStyle w:val="FootnoteReference"/>
        </w:rPr>
        <w:footnoteReference w:id="64"/>
      </w:r>
      <w:r w:rsidRPr="00F64639">
        <w:t>:</w:t>
      </w:r>
      <w:proofErr w:type="gramEnd"/>
      <w:r w:rsidRPr="00F64639">
        <w:t xml:space="preserve"> </w:t>
      </w:r>
      <w:r w:rsidR="000510F2" w:rsidRPr="00F64639">
        <w:t>558</w:t>
      </w:r>
      <w:r w:rsidRPr="00F64639">
        <w:t xml:space="preserve"> db olyan támogatott van a</w:t>
      </w:r>
      <w:r w:rsidR="000510F2" w:rsidRPr="00F64639">
        <w:t>z</w:t>
      </w:r>
      <w:r w:rsidRPr="00F64639">
        <w:t xml:space="preserve"> </w:t>
      </w:r>
      <w:r w:rsidR="000510F2" w:rsidRPr="00F64639">
        <w:t>ÁTK I-II.</w:t>
      </w:r>
      <w:r w:rsidRPr="00F64639">
        <w:t xml:space="preserve"> jogcím</w:t>
      </w:r>
      <w:r w:rsidR="000510F2" w:rsidRPr="00F64639">
        <w:t>ek</w:t>
      </w:r>
      <w:r w:rsidRPr="00F64639">
        <w:t>ben (</w:t>
      </w:r>
      <w:r w:rsidR="000510F2" w:rsidRPr="00F64639">
        <w:t>1348</w:t>
      </w:r>
      <w:r w:rsidRPr="00F64639">
        <w:t xml:space="preserve"> db kedvezm</w:t>
      </w:r>
      <w:r w:rsidRPr="00F64639">
        <w:t>é</w:t>
      </w:r>
      <w:r w:rsidRPr="00F64639">
        <w:t>nyezett</w:t>
      </w:r>
      <w:r w:rsidR="005C2FD6" w:rsidRPr="00F64639">
        <w:t>ből</w:t>
      </w:r>
      <w:r w:rsidRPr="00F64639">
        <w:t xml:space="preserve">), aki </w:t>
      </w:r>
      <w:r w:rsidR="005B0ABB" w:rsidRPr="00F64639">
        <w:t>AKG támogatásban is részesült.</w:t>
      </w:r>
    </w:p>
    <w:p w:rsidR="006573C2" w:rsidRPr="00F64639" w:rsidRDefault="006573C2" w:rsidP="006573C2">
      <w:pPr>
        <w:pStyle w:val="HUNNormal"/>
        <w:numPr>
          <w:ilvl w:val="0"/>
          <w:numId w:val="32"/>
        </w:numPr>
        <w:tabs>
          <w:tab w:val="left" w:pos="709"/>
        </w:tabs>
      </w:pPr>
      <w:r w:rsidRPr="00F64639">
        <w:rPr>
          <w:b/>
          <w:i/>
        </w:rPr>
        <w:t>Hátrányos helyzetű</w:t>
      </w:r>
      <w:r w:rsidRPr="00F64639">
        <w:t xml:space="preserve"> </w:t>
      </w:r>
      <w:proofErr w:type="gramStart"/>
      <w:r w:rsidRPr="00F64639">
        <w:rPr>
          <w:b/>
          <w:i/>
        </w:rPr>
        <w:t>térségek</w:t>
      </w:r>
      <w:r w:rsidRPr="00F64639">
        <w:rPr>
          <w:rStyle w:val="FootnoteReference"/>
        </w:rPr>
        <w:footnoteReference w:id="65"/>
      </w:r>
      <w:r w:rsidRPr="00F64639">
        <w:t>:</w:t>
      </w:r>
      <w:proofErr w:type="gramEnd"/>
      <w:r w:rsidRPr="00F64639">
        <w:t xml:space="preserve"> a jóváhagyott támogatási kérelmek több mint fele érkezett hátrányos helyzetű, LHH vagy komplex LHH kistérségből (rendre </w:t>
      </w:r>
      <w:r w:rsidR="000510F2" w:rsidRPr="00F64639">
        <w:t>31,18</w:t>
      </w:r>
      <w:r w:rsidRPr="00F64639">
        <w:t xml:space="preserve">%, </w:t>
      </w:r>
      <w:r w:rsidR="000510F2" w:rsidRPr="00F64639">
        <w:t>8,01</w:t>
      </w:r>
      <w:r w:rsidRPr="00F64639">
        <w:t xml:space="preserve">% és </w:t>
      </w:r>
      <w:r w:rsidR="000510F2" w:rsidRPr="00F64639">
        <w:t>13,86</w:t>
      </w:r>
      <w:r w:rsidRPr="00F64639">
        <w:t>%).</w:t>
      </w:r>
    </w:p>
    <w:p w:rsidR="006573C2" w:rsidRPr="00F64639" w:rsidRDefault="006573C2" w:rsidP="006573C2">
      <w:pPr>
        <w:pStyle w:val="HUNNormal"/>
        <w:numPr>
          <w:ilvl w:val="0"/>
          <w:numId w:val="32"/>
        </w:numPr>
        <w:tabs>
          <w:tab w:val="left" w:pos="709"/>
        </w:tabs>
      </w:pPr>
      <w:r w:rsidRPr="00F64639">
        <w:rPr>
          <w:b/>
          <w:i/>
        </w:rPr>
        <w:t xml:space="preserve">Női </w:t>
      </w:r>
      <w:proofErr w:type="gramStart"/>
      <w:r w:rsidRPr="00F64639">
        <w:rPr>
          <w:b/>
          <w:i/>
        </w:rPr>
        <w:t>pályázók</w:t>
      </w:r>
      <w:r w:rsidRPr="00F64639">
        <w:rPr>
          <w:rStyle w:val="FootnoteReference"/>
        </w:rPr>
        <w:footnoteReference w:id="66"/>
      </w:r>
      <w:r w:rsidRPr="00F64639">
        <w:t>:</w:t>
      </w:r>
      <w:proofErr w:type="gramEnd"/>
      <w:r w:rsidRPr="00F64639">
        <w:t xml:space="preserve"> az e-monitoring adatszolgáltatás adatai alapján (</w:t>
      </w:r>
      <w:r w:rsidR="00D567A3" w:rsidRPr="00F64639">
        <w:t>1348</w:t>
      </w:r>
      <w:r w:rsidRPr="00F64639">
        <w:t xml:space="preserve"> kedvezményezett közül </w:t>
      </w:r>
      <w:r w:rsidR="00D567A3" w:rsidRPr="00F64639">
        <w:t>1231</w:t>
      </w:r>
      <w:r w:rsidRPr="00F64639">
        <w:t>-en adtak be adatszolgáltatást)</w:t>
      </w:r>
      <w:r w:rsidR="00D567A3" w:rsidRPr="00F64639">
        <w:t xml:space="preserve"> </w:t>
      </w:r>
      <w:r w:rsidRPr="00F64639">
        <w:t>a női kedvezményezettek</w:t>
      </w:r>
      <w:r w:rsidR="00CC3655" w:rsidRPr="00F64639">
        <w:t xml:space="preserve">, illetve nőket is foglalkoztatók </w:t>
      </w:r>
      <w:r w:rsidRPr="00F64639">
        <w:t xml:space="preserve">száma </w:t>
      </w:r>
      <w:r w:rsidR="00D567A3" w:rsidRPr="00F64639">
        <w:t>77</w:t>
      </w:r>
      <w:r w:rsidRPr="00F64639">
        <w:t xml:space="preserve">, szemben a férfiak </w:t>
      </w:r>
      <w:r w:rsidR="00D567A3" w:rsidRPr="00F64639">
        <w:t>405</w:t>
      </w:r>
      <w:r w:rsidRPr="00F64639">
        <w:t>-es értékével (</w:t>
      </w:r>
      <w:r w:rsidR="00D567A3" w:rsidRPr="00F64639">
        <w:t>749</w:t>
      </w:r>
      <w:r w:rsidRPr="00F64639">
        <w:t xml:space="preserve"> regisztrációs számhoz nem tartozott </w:t>
      </w:r>
      <w:r w:rsidR="005C2FD6" w:rsidRPr="00F64639">
        <w:t>ilyen adat</w:t>
      </w:r>
      <w:r w:rsidRPr="00F64639">
        <w:t xml:space="preserve">). </w:t>
      </w:r>
    </w:p>
    <w:p w:rsidR="00E42ED0" w:rsidRPr="00F64639" w:rsidRDefault="006B0925" w:rsidP="00E42ED0">
      <w:pPr>
        <w:pStyle w:val="HUNNormal"/>
        <w:tabs>
          <w:tab w:val="left" w:pos="709"/>
        </w:tabs>
      </w:pPr>
      <w:r w:rsidRPr="00F64639">
        <w:t>A támogatások nagy része az észak-alföldi régióba irányult (28%), a legkevesebb pedig az észak-magyarországi régióba. A többi régió nagyjából hasonló megítélt támogatási összeget tudhat magáénak (11-15% közötti értékkel).</w:t>
      </w:r>
    </w:p>
    <w:p w:rsidR="00803C26" w:rsidRPr="00F64639" w:rsidRDefault="00803C26" w:rsidP="00E42ED0">
      <w:pPr>
        <w:pStyle w:val="HUNNormal"/>
        <w:tabs>
          <w:tab w:val="left" w:pos="709"/>
        </w:tabs>
      </w:pPr>
      <w:r w:rsidRPr="00F64639">
        <w:t xml:space="preserve">Ami a jóváhagyott támogatási kérelmek megyei megoszlását illeti, megállapítható, hogy a legtöbb kérelem Hajdú Bihar, Bács-Kiskun és Békés megyékből érkezett (rendre 9,71%, 9,01% és 7,55%). A legkevesebb kérelem Budapestről és Heves megyéből érkezett (rendre 0,06%, 1,59%). </w:t>
      </w:r>
    </w:p>
    <w:p w:rsidR="00803C26" w:rsidRPr="00F64639" w:rsidRDefault="00803C26" w:rsidP="00E42ED0">
      <w:pPr>
        <w:pStyle w:val="HUNNormal"/>
        <w:tabs>
          <w:tab w:val="left" w:pos="709"/>
        </w:tabs>
      </w:pPr>
      <w:r w:rsidRPr="00F64639">
        <w:lastRenderedPageBreak/>
        <w:t xml:space="preserve">A jóváhagyott </w:t>
      </w:r>
      <w:r w:rsidR="006E5DAB" w:rsidRPr="00F64639">
        <w:t xml:space="preserve">kérelmek 63%-a </w:t>
      </w:r>
      <w:r w:rsidR="00F801AC" w:rsidRPr="00F64639">
        <w:t xml:space="preserve">gazdálkodó </w:t>
      </w:r>
      <w:r w:rsidR="006E5DAB" w:rsidRPr="00F64639">
        <w:t xml:space="preserve">szervezetektől érkezett be, ezek közül is </w:t>
      </w:r>
      <w:r w:rsidR="006E5DAB" w:rsidRPr="00F64639">
        <w:rPr>
          <w:b/>
        </w:rPr>
        <w:t>legnagyobb arányban a nagyvállalkozások</w:t>
      </w:r>
      <w:r w:rsidR="006E5DAB" w:rsidRPr="00F64639">
        <w:t xml:space="preserve"> (26,21%). A kis- és közepes vállalkozások rendre 16,43% és 24,6%-os részesedési arányt mutatnak </w:t>
      </w:r>
      <w:proofErr w:type="gramStart"/>
      <w:r w:rsidR="006E5DAB" w:rsidRPr="00F64639">
        <w:t>fel</w:t>
      </w:r>
      <w:r w:rsidR="006E5DAB" w:rsidRPr="00F64639">
        <w:rPr>
          <w:rStyle w:val="FootnoteReference"/>
        </w:rPr>
        <w:footnoteReference w:id="67"/>
      </w:r>
      <w:r w:rsidR="006E5DAB" w:rsidRPr="00F64639">
        <w:t>.</w:t>
      </w:r>
      <w:proofErr w:type="gramEnd"/>
    </w:p>
    <w:p w:rsidR="00D23DBD" w:rsidRPr="00F64639" w:rsidRDefault="00D23DBD" w:rsidP="00E42ED0">
      <w:pPr>
        <w:pStyle w:val="HUNNormal"/>
        <w:tabs>
          <w:tab w:val="left" w:pos="709"/>
        </w:tabs>
      </w:pPr>
      <w:r w:rsidRPr="00F64639">
        <w:t xml:space="preserve">Amennyiben a támogatott gazdaságok </w:t>
      </w:r>
      <w:proofErr w:type="spellStart"/>
      <w:r w:rsidRPr="00F64639">
        <w:t>SFH-méret</w:t>
      </w:r>
      <w:proofErr w:type="spellEnd"/>
      <w:r w:rsidRPr="00F64639">
        <w:t xml:space="preserve"> szerinti megoszlását vizsgáljuk, megállapítható, hogy a mikro gazdálkodók (alsó </w:t>
      </w:r>
      <w:proofErr w:type="spellStart"/>
      <w:r w:rsidRPr="00F64639">
        <w:t>kvartilis</w:t>
      </w:r>
      <w:proofErr w:type="spellEnd"/>
      <w:r w:rsidRPr="00F64639">
        <w:t xml:space="preserve">) kapták a támogatási összegek 8,1%-át, a középső </w:t>
      </w:r>
      <w:proofErr w:type="spellStart"/>
      <w:r w:rsidRPr="00F64639">
        <w:t>kvartilisekbe</w:t>
      </w:r>
      <w:proofErr w:type="spellEnd"/>
      <w:r w:rsidRPr="00F64639">
        <w:t xml:space="preserve"> tartozók (kis- és </w:t>
      </w:r>
      <w:proofErr w:type="gramStart"/>
      <w:r w:rsidRPr="00F64639">
        <w:t>közép gazdálkodók</w:t>
      </w:r>
      <w:proofErr w:type="gramEnd"/>
      <w:r w:rsidRPr="00F64639">
        <w:t>) kapták rendre a 16,4% és 23,2%-át, míg a nagygazdálkodók kapták a megítélt támogatások 52,3%-át.</w:t>
      </w:r>
    </w:p>
    <w:tbl>
      <w:tblPr>
        <w:tblW w:w="0" w:type="auto"/>
        <w:jc w:val="center"/>
        <w:tblCellMar>
          <w:left w:w="0" w:type="dxa"/>
          <w:right w:w="0" w:type="dxa"/>
        </w:tblCellMar>
        <w:tblLook w:val="04A0"/>
      </w:tblPr>
      <w:tblGrid>
        <w:gridCol w:w="3330"/>
        <w:gridCol w:w="1984"/>
        <w:gridCol w:w="1843"/>
        <w:gridCol w:w="2143"/>
      </w:tblGrid>
      <w:tr w:rsidR="00D23DBD" w:rsidRPr="00F64639" w:rsidTr="00D23DBD">
        <w:trPr>
          <w:jc w:val="center"/>
        </w:trPr>
        <w:tc>
          <w:tcPr>
            <w:tcW w:w="3330" w:type="dxa"/>
            <w:tcBorders>
              <w:top w:val="single" w:sz="8" w:space="0" w:color="FFFFFF"/>
              <w:left w:val="single" w:sz="8" w:space="0" w:color="FFFFFF"/>
              <w:bottom w:val="single" w:sz="24" w:space="0" w:color="FFFFFF"/>
              <w:right w:val="single" w:sz="8" w:space="0" w:color="FFFFFF"/>
            </w:tcBorders>
            <w:shd w:val="clear" w:color="auto" w:fill="C0504D"/>
            <w:tcMar>
              <w:top w:w="0" w:type="dxa"/>
              <w:left w:w="108" w:type="dxa"/>
              <w:bottom w:w="0" w:type="dxa"/>
              <w:right w:w="108" w:type="dxa"/>
            </w:tcMar>
            <w:vAlign w:val="center"/>
            <w:hideMark/>
          </w:tcPr>
          <w:p w:rsidR="00D23DBD" w:rsidRPr="00F64639" w:rsidRDefault="00D23DBD">
            <w:pPr>
              <w:autoSpaceDE w:val="0"/>
              <w:autoSpaceDN w:val="0"/>
              <w:jc w:val="center"/>
              <w:rPr>
                <w:rFonts w:eastAsia="Calibri"/>
                <w:b/>
                <w:bCs/>
                <w:color w:val="FFFFFF"/>
                <w:sz w:val="18"/>
                <w:szCs w:val="18"/>
              </w:rPr>
            </w:pPr>
            <w:r w:rsidRPr="00F64639">
              <w:rPr>
                <w:b/>
                <w:bCs/>
                <w:color w:val="FFFFFF"/>
                <w:sz w:val="18"/>
                <w:szCs w:val="18"/>
              </w:rPr>
              <w:t>Méret-kategóriák</w:t>
            </w:r>
          </w:p>
        </w:tc>
        <w:tc>
          <w:tcPr>
            <w:tcW w:w="1984" w:type="dxa"/>
            <w:tcBorders>
              <w:top w:val="single" w:sz="8" w:space="0" w:color="FFFFFF"/>
              <w:left w:val="nil"/>
              <w:bottom w:val="single" w:sz="24" w:space="0" w:color="FFFFFF"/>
              <w:right w:val="single" w:sz="8" w:space="0" w:color="FFFFFF"/>
            </w:tcBorders>
            <w:shd w:val="clear" w:color="auto" w:fill="C0504D"/>
            <w:tcMar>
              <w:top w:w="0" w:type="dxa"/>
              <w:left w:w="108" w:type="dxa"/>
              <w:bottom w:w="0" w:type="dxa"/>
              <w:right w:w="108" w:type="dxa"/>
            </w:tcMar>
            <w:vAlign w:val="center"/>
            <w:hideMark/>
          </w:tcPr>
          <w:p w:rsidR="00D23DBD" w:rsidRPr="00F64639" w:rsidRDefault="00D23DBD">
            <w:pPr>
              <w:autoSpaceDE w:val="0"/>
              <w:autoSpaceDN w:val="0"/>
              <w:jc w:val="center"/>
              <w:rPr>
                <w:rFonts w:eastAsia="Calibri"/>
                <w:b/>
                <w:bCs/>
                <w:color w:val="FFFFFF"/>
                <w:sz w:val="18"/>
                <w:szCs w:val="18"/>
              </w:rPr>
            </w:pPr>
            <w:r w:rsidRPr="00F64639">
              <w:rPr>
                <w:b/>
                <w:bCs/>
                <w:color w:val="FFFFFF"/>
                <w:sz w:val="18"/>
                <w:szCs w:val="18"/>
              </w:rPr>
              <w:t>SFH érték összesen (Ft - 2007)</w:t>
            </w:r>
          </w:p>
        </w:tc>
        <w:tc>
          <w:tcPr>
            <w:tcW w:w="1843" w:type="dxa"/>
            <w:tcBorders>
              <w:top w:val="single" w:sz="8" w:space="0" w:color="FFFFFF"/>
              <w:left w:val="nil"/>
              <w:bottom w:val="single" w:sz="24" w:space="0" w:color="FFFFFF"/>
              <w:right w:val="single" w:sz="8" w:space="0" w:color="FFFFFF"/>
            </w:tcBorders>
            <w:shd w:val="clear" w:color="auto" w:fill="C0504D"/>
            <w:tcMar>
              <w:top w:w="0" w:type="dxa"/>
              <w:left w:w="108" w:type="dxa"/>
              <w:bottom w:w="0" w:type="dxa"/>
              <w:right w:w="108" w:type="dxa"/>
            </w:tcMar>
            <w:vAlign w:val="center"/>
            <w:hideMark/>
          </w:tcPr>
          <w:p w:rsidR="00D23DBD" w:rsidRPr="00F64639" w:rsidRDefault="00D23DBD">
            <w:pPr>
              <w:autoSpaceDE w:val="0"/>
              <w:autoSpaceDN w:val="0"/>
              <w:jc w:val="center"/>
              <w:rPr>
                <w:rFonts w:eastAsia="Calibri"/>
                <w:b/>
                <w:bCs/>
                <w:color w:val="FFFFFF"/>
                <w:sz w:val="18"/>
                <w:szCs w:val="18"/>
              </w:rPr>
            </w:pPr>
            <w:r w:rsidRPr="00F64639">
              <w:rPr>
                <w:b/>
                <w:bCs/>
                <w:color w:val="FFFFFF"/>
                <w:sz w:val="18"/>
                <w:szCs w:val="18"/>
              </w:rPr>
              <w:t>Megítélt támogatás összesen (Ft)</w:t>
            </w:r>
          </w:p>
        </w:tc>
        <w:tc>
          <w:tcPr>
            <w:tcW w:w="2143" w:type="dxa"/>
            <w:tcBorders>
              <w:top w:val="single" w:sz="8" w:space="0" w:color="FFFFFF"/>
              <w:left w:val="nil"/>
              <w:bottom w:val="single" w:sz="24" w:space="0" w:color="FFFFFF"/>
              <w:right w:val="single" w:sz="8" w:space="0" w:color="FFFFFF"/>
            </w:tcBorders>
            <w:shd w:val="clear" w:color="auto" w:fill="C0504D"/>
            <w:tcMar>
              <w:top w:w="0" w:type="dxa"/>
              <w:left w:w="108" w:type="dxa"/>
              <w:bottom w:w="0" w:type="dxa"/>
              <w:right w:w="108" w:type="dxa"/>
            </w:tcMar>
            <w:vAlign w:val="center"/>
            <w:hideMark/>
          </w:tcPr>
          <w:p w:rsidR="00D23DBD" w:rsidRPr="00F64639" w:rsidRDefault="00D23DBD">
            <w:pPr>
              <w:autoSpaceDE w:val="0"/>
              <w:autoSpaceDN w:val="0"/>
              <w:jc w:val="center"/>
              <w:rPr>
                <w:rFonts w:eastAsia="Calibri"/>
                <w:b/>
                <w:bCs/>
                <w:color w:val="FFFFFF"/>
                <w:sz w:val="18"/>
                <w:szCs w:val="18"/>
              </w:rPr>
            </w:pPr>
            <w:r w:rsidRPr="00F64639">
              <w:rPr>
                <w:b/>
                <w:bCs/>
                <w:color w:val="FFFFFF"/>
                <w:sz w:val="18"/>
                <w:szCs w:val="18"/>
              </w:rPr>
              <w:t>Átlagos megítélt támog</w:t>
            </w:r>
            <w:r w:rsidRPr="00F64639">
              <w:rPr>
                <w:b/>
                <w:bCs/>
                <w:color w:val="FFFFFF"/>
                <w:sz w:val="18"/>
                <w:szCs w:val="18"/>
              </w:rPr>
              <w:t>a</w:t>
            </w:r>
            <w:r w:rsidRPr="00F64639">
              <w:rPr>
                <w:b/>
                <w:bCs/>
                <w:color w:val="FFFFFF"/>
                <w:sz w:val="18"/>
                <w:szCs w:val="18"/>
              </w:rPr>
              <w:t>tás (Ft</w:t>
            </w:r>
            <w:r w:rsidRPr="00F64639">
              <w:rPr>
                <w:rStyle w:val="CommentReference"/>
                <w:b/>
                <w:bCs/>
                <w:color w:val="FFFFFF"/>
                <w:sz w:val="18"/>
                <w:szCs w:val="18"/>
              </w:rPr>
              <w:t> </w:t>
            </w:r>
            <w:r w:rsidRPr="00F64639">
              <w:rPr>
                <w:b/>
                <w:bCs/>
                <w:color w:val="FFFFFF"/>
                <w:sz w:val="18"/>
                <w:szCs w:val="18"/>
              </w:rPr>
              <w:t>)</w:t>
            </w:r>
          </w:p>
        </w:tc>
      </w:tr>
      <w:tr w:rsidR="00D23DBD" w:rsidRPr="00F64639" w:rsidTr="00D23DBD">
        <w:trPr>
          <w:jc w:val="center"/>
        </w:trPr>
        <w:tc>
          <w:tcPr>
            <w:tcW w:w="3330" w:type="dxa"/>
            <w:tcBorders>
              <w:top w:val="nil"/>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D23DBD" w:rsidRPr="00F64639" w:rsidRDefault="00D23DBD">
            <w:pPr>
              <w:jc w:val="center"/>
              <w:rPr>
                <w:rFonts w:eastAsia="Calibri"/>
                <w:color w:val="FFFFFF"/>
                <w:sz w:val="18"/>
                <w:szCs w:val="18"/>
              </w:rPr>
            </w:pPr>
            <w:r w:rsidRPr="00F64639">
              <w:rPr>
                <w:color w:val="FFFFFF"/>
                <w:sz w:val="18"/>
                <w:szCs w:val="18"/>
              </w:rPr>
              <w:t>Mikro gazdálkodó (</w:t>
            </w:r>
            <w:r w:rsidRPr="00F64639">
              <w:rPr>
                <w:i/>
                <w:iCs/>
                <w:color w:val="FFFFFF"/>
                <w:sz w:val="18"/>
                <w:szCs w:val="18"/>
              </w:rPr>
              <w:t xml:space="preserve">alsó </w:t>
            </w:r>
            <w:proofErr w:type="spellStart"/>
            <w:r w:rsidRPr="00F64639">
              <w:rPr>
                <w:i/>
                <w:iCs/>
                <w:color w:val="FFFFFF"/>
                <w:sz w:val="18"/>
                <w:szCs w:val="18"/>
              </w:rPr>
              <w:t>kvartilis</w:t>
            </w:r>
            <w:proofErr w:type="spellEnd"/>
            <w:r w:rsidRPr="00F64639">
              <w:rPr>
                <w:color w:val="FFFFFF"/>
                <w:sz w:val="18"/>
                <w:szCs w:val="18"/>
              </w:rPr>
              <w:t>)</w:t>
            </w:r>
          </w:p>
        </w:tc>
        <w:tc>
          <w:tcPr>
            <w:tcW w:w="1984"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5 291 585 841 Ft</w:t>
            </w:r>
          </w:p>
        </w:tc>
        <w:tc>
          <w:tcPr>
            <w:tcW w:w="1843"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16 272 405 531 Ft</w:t>
            </w:r>
          </w:p>
        </w:tc>
        <w:tc>
          <w:tcPr>
            <w:tcW w:w="2143"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37 755 001 Ft</w:t>
            </w:r>
          </w:p>
        </w:tc>
      </w:tr>
      <w:tr w:rsidR="00D23DBD" w:rsidRPr="00F64639" w:rsidTr="00D23DBD">
        <w:trPr>
          <w:jc w:val="center"/>
        </w:trPr>
        <w:tc>
          <w:tcPr>
            <w:tcW w:w="3330" w:type="dxa"/>
            <w:tcBorders>
              <w:top w:val="single" w:sz="8" w:space="0" w:color="FFFFFF"/>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D23DBD" w:rsidRPr="00F64639" w:rsidRDefault="00D23DBD">
            <w:pPr>
              <w:jc w:val="center"/>
              <w:rPr>
                <w:rFonts w:eastAsia="Calibri"/>
                <w:color w:val="FFFFFF"/>
                <w:sz w:val="18"/>
                <w:szCs w:val="18"/>
              </w:rPr>
            </w:pPr>
            <w:r w:rsidRPr="00F64639">
              <w:rPr>
                <w:color w:val="FFFFFF"/>
                <w:sz w:val="18"/>
                <w:szCs w:val="18"/>
              </w:rPr>
              <w:t>Kis gazdálkodó (</w:t>
            </w:r>
            <w:r w:rsidRPr="00F64639">
              <w:rPr>
                <w:i/>
                <w:iCs/>
                <w:color w:val="FFFFFF"/>
                <w:sz w:val="18"/>
                <w:szCs w:val="18"/>
              </w:rPr>
              <w:t xml:space="preserve">középső </w:t>
            </w:r>
            <w:proofErr w:type="spellStart"/>
            <w:r w:rsidRPr="00F64639">
              <w:rPr>
                <w:i/>
                <w:iCs/>
                <w:color w:val="FFFFFF"/>
                <w:sz w:val="18"/>
                <w:szCs w:val="18"/>
              </w:rPr>
              <w:t>kvartilis</w:t>
            </w:r>
            <w:proofErr w:type="spellEnd"/>
            <w:r w:rsidRPr="00F64639">
              <w:rPr>
                <w:color w:val="FFFFFF"/>
                <w:sz w:val="18"/>
                <w:szCs w:val="18"/>
              </w:rPr>
              <w:t>)</w:t>
            </w:r>
          </w:p>
        </w:tc>
        <w:tc>
          <w:tcPr>
            <w:tcW w:w="1984"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16 434 971 835 Ft</w:t>
            </w:r>
          </w:p>
        </w:tc>
        <w:tc>
          <w:tcPr>
            <w:tcW w:w="1843"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32 914 832 747 Ft</w:t>
            </w:r>
          </w:p>
        </w:tc>
        <w:tc>
          <w:tcPr>
            <w:tcW w:w="2143"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75 840 628 Ft</w:t>
            </w:r>
          </w:p>
        </w:tc>
      </w:tr>
      <w:tr w:rsidR="00D23DBD" w:rsidRPr="00F64639" w:rsidTr="00D23DBD">
        <w:trPr>
          <w:jc w:val="center"/>
        </w:trPr>
        <w:tc>
          <w:tcPr>
            <w:tcW w:w="3330" w:type="dxa"/>
            <w:tcBorders>
              <w:top w:val="single" w:sz="8" w:space="0" w:color="FFFFFF"/>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D23DBD" w:rsidRPr="00F64639" w:rsidRDefault="00D23DBD">
            <w:pPr>
              <w:jc w:val="center"/>
              <w:rPr>
                <w:rFonts w:eastAsia="Calibri"/>
                <w:color w:val="FFFFFF"/>
                <w:sz w:val="18"/>
                <w:szCs w:val="18"/>
              </w:rPr>
            </w:pPr>
            <w:r w:rsidRPr="00F64639">
              <w:rPr>
                <w:color w:val="FFFFFF"/>
                <w:sz w:val="18"/>
                <w:szCs w:val="18"/>
              </w:rPr>
              <w:t>Középgazdálkodó (</w:t>
            </w:r>
            <w:r w:rsidRPr="00F64639">
              <w:rPr>
                <w:i/>
                <w:iCs/>
                <w:color w:val="FFFFFF"/>
                <w:sz w:val="18"/>
                <w:szCs w:val="18"/>
              </w:rPr>
              <w:t xml:space="preserve">középső </w:t>
            </w:r>
            <w:proofErr w:type="spellStart"/>
            <w:r w:rsidRPr="00F64639">
              <w:rPr>
                <w:i/>
                <w:iCs/>
                <w:color w:val="FFFFFF"/>
                <w:sz w:val="18"/>
                <w:szCs w:val="18"/>
              </w:rPr>
              <w:t>kvartilis</w:t>
            </w:r>
            <w:proofErr w:type="spellEnd"/>
            <w:r w:rsidRPr="00F64639">
              <w:rPr>
                <w:color w:val="FFFFFF"/>
                <w:sz w:val="18"/>
                <w:szCs w:val="18"/>
              </w:rPr>
              <w:t>)</w:t>
            </w:r>
          </w:p>
        </w:tc>
        <w:tc>
          <w:tcPr>
            <w:tcW w:w="1984"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57 453 459 829 Ft</w:t>
            </w:r>
          </w:p>
        </w:tc>
        <w:tc>
          <w:tcPr>
            <w:tcW w:w="1843"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46 497 242 950 Ft</w:t>
            </w:r>
          </w:p>
        </w:tc>
        <w:tc>
          <w:tcPr>
            <w:tcW w:w="2143"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106 401 014 Ft</w:t>
            </w:r>
          </w:p>
        </w:tc>
      </w:tr>
      <w:tr w:rsidR="00D23DBD" w:rsidRPr="00F64639" w:rsidTr="00D23DBD">
        <w:trPr>
          <w:jc w:val="center"/>
        </w:trPr>
        <w:tc>
          <w:tcPr>
            <w:tcW w:w="3330" w:type="dxa"/>
            <w:tcBorders>
              <w:top w:val="single" w:sz="8" w:space="0" w:color="FFFFFF"/>
              <w:left w:val="single" w:sz="8" w:space="0" w:color="FFFFFF"/>
              <w:bottom w:val="single" w:sz="8" w:space="0" w:color="FFFFFF"/>
              <w:right w:val="single" w:sz="24" w:space="0" w:color="FFFFFF"/>
            </w:tcBorders>
            <w:shd w:val="clear" w:color="auto" w:fill="C0504D"/>
            <w:tcMar>
              <w:top w:w="0" w:type="dxa"/>
              <w:left w:w="108" w:type="dxa"/>
              <w:bottom w:w="0" w:type="dxa"/>
              <w:right w:w="108" w:type="dxa"/>
            </w:tcMar>
            <w:vAlign w:val="center"/>
            <w:hideMark/>
          </w:tcPr>
          <w:p w:rsidR="00D23DBD" w:rsidRPr="00F64639" w:rsidRDefault="00D23DBD">
            <w:pPr>
              <w:jc w:val="center"/>
              <w:rPr>
                <w:rFonts w:eastAsia="Calibri"/>
                <w:color w:val="FFFFFF"/>
                <w:sz w:val="18"/>
                <w:szCs w:val="18"/>
              </w:rPr>
            </w:pPr>
            <w:r w:rsidRPr="00F64639">
              <w:rPr>
                <w:color w:val="FFFFFF"/>
                <w:sz w:val="18"/>
                <w:szCs w:val="18"/>
              </w:rPr>
              <w:t>Nagy gazdálkodó (</w:t>
            </w:r>
            <w:r w:rsidRPr="00F64639">
              <w:rPr>
                <w:i/>
                <w:iCs/>
                <w:color w:val="FFFFFF"/>
                <w:sz w:val="18"/>
                <w:szCs w:val="18"/>
              </w:rPr>
              <w:t xml:space="preserve">felső </w:t>
            </w:r>
            <w:proofErr w:type="spellStart"/>
            <w:r w:rsidRPr="00F64639">
              <w:rPr>
                <w:i/>
                <w:iCs/>
                <w:color w:val="FFFFFF"/>
                <w:sz w:val="18"/>
                <w:szCs w:val="18"/>
              </w:rPr>
              <w:t>kvartilis</w:t>
            </w:r>
            <w:proofErr w:type="spellEnd"/>
            <w:r w:rsidRPr="00F64639">
              <w:rPr>
                <w:color w:val="FFFFFF"/>
                <w:sz w:val="18"/>
                <w:szCs w:val="18"/>
              </w:rPr>
              <w:t>)</w:t>
            </w:r>
          </w:p>
        </w:tc>
        <w:tc>
          <w:tcPr>
            <w:tcW w:w="1984"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264 912 674 328 Ft</w:t>
            </w:r>
          </w:p>
        </w:tc>
        <w:tc>
          <w:tcPr>
            <w:tcW w:w="1843"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 xml:space="preserve">104 756 </w:t>
            </w:r>
            <w:proofErr w:type="spellStart"/>
            <w:r w:rsidRPr="00F64639">
              <w:rPr>
                <w:color w:val="000000"/>
                <w:sz w:val="18"/>
                <w:szCs w:val="18"/>
              </w:rPr>
              <w:t>756</w:t>
            </w:r>
            <w:proofErr w:type="spellEnd"/>
            <w:r w:rsidRPr="00F64639">
              <w:rPr>
                <w:color w:val="000000"/>
                <w:sz w:val="18"/>
                <w:szCs w:val="18"/>
              </w:rPr>
              <w:t xml:space="preserve"> 110 Ft</w:t>
            </w:r>
          </w:p>
        </w:tc>
        <w:tc>
          <w:tcPr>
            <w:tcW w:w="2143"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vAlign w:val="center"/>
            <w:hideMark/>
          </w:tcPr>
          <w:p w:rsidR="00D23DBD" w:rsidRPr="00F64639" w:rsidRDefault="00D23DBD">
            <w:pPr>
              <w:jc w:val="center"/>
              <w:rPr>
                <w:rFonts w:eastAsia="Calibri"/>
                <w:color w:val="000000"/>
                <w:sz w:val="18"/>
                <w:szCs w:val="18"/>
              </w:rPr>
            </w:pPr>
            <w:r w:rsidRPr="00F64639">
              <w:rPr>
                <w:color w:val="000000"/>
                <w:sz w:val="18"/>
                <w:szCs w:val="18"/>
              </w:rPr>
              <w:t>236 471 233 Ft</w:t>
            </w:r>
          </w:p>
        </w:tc>
      </w:tr>
    </w:tbl>
    <w:p w:rsidR="00E740B1" w:rsidRPr="00F64639" w:rsidRDefault="00075A29" w:rsidP="00E740B1">
      <w:pPr>
        <w:pStyle w:val="Caption"/>
        <w:spacing w:before="60" w:after="120" w:line="280" w:lineRule="atLeast"/>
        <w:jc w:val="center"/>
        <w:rPr>
          <w:color w:val="auto"/>
        </w:rPr>
      </w:pPr>
      <w:r w:rsidRPr="00F64639">
        <w:rPr>
          <w:color w:val="auto"/>
        </w:rPr>
        <w:fldChar w:fldCharType="begin"/>
      </w:r>
      <w:r w:rsidR="00E740B1" w:rsidRPr="00F64639">
        <w:rPr>
          <w:color w:val="auto"/>
        </w:rPr>
        <w:instrText xml:space="preserve"> SEQ táblázat \* ARABIC </w:instrText>
      </w:r>
      <w:r w:rsidRPr="00F64639">
        <w:rPr>
          <w:color w:val="auto"/>
        </w:rPr>
        <w:fldChar w:fldCharType="separate"/>
      </w:r>
      <w:r w:rsidR="00E30745" w:rsidRPr="00F64639">
        <w:rPr>
          <w:noProof/>
          <w:color w:val="auto"/>
        </w:rPr>
        <w:t>21</w:t>
      </w:r>
      <w:r w:rsidRPr="00F64639">
        <w:rPr>
          <w:color w:val="auto"/>
        </w:rPr>
        <w:fldChar w:fldCharType="end"/>
      </w:r>
      <w:r w:rsidR="00E740B1" w:rsidRPr="00F64639">
        <w:rPr>
          <w:color w:val="auto"/>
        </w:rPr>
        <w:t>. táblázat: ÁTK jogcím SFH méretkategóriák jellemzői</w:t>
      </w:r>
    </w:p>
    <w:p w:rsidR="00AD21B9" w:rsidRPr="00F64639" w:rsidRDefault="00AD21B9" w:rsidP="00E42ED0">
      <w:pPr>
        <w:pStyle w:val="HUNNormal"/>
        <w:tabs>
          <w:tab w:val="left" w:pos="709"/>
        </w:tabs>
      </w:pPr>
      <w:r w:rsidRPr="00F64639">
        <w:t>Ez az arány az ÁTK II jogcímben még romlott is az ÁTK I-hez képest.</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163"/>
        <w:gridCol w:w="2608"/>
        <w:gridCol w:w="2608"/>
      </w:tblGrid>
      <w:tr w:rsidR="000E2F1A" w:rsidRPr="00F64639" w:rsidTr="002F783E">
        <w:trPr>
          <w:tblHeader/>
          <w:jc w:val="center"/>
        </w:trPr>
        <w:tc>
          <w:tcPr>
            <w:tcW w:w="2219" w:type="pct"/>
            <w:tcBorders>
              <w:top w:val="single" w:sz="8" w:space="0" w:color="FFFFFF"/>
              <w:left w:val="single" w:sz="8" w:space="0" w:color="FFFFFF"/>
              <w:bottom w:val="single" w:sz="24" w:space="0" w:color="FFFFFF"/>
              <w:right w:val="single" w:sz="8" w:space="0" w:color="FFFFFF"/>
            </w:tcBorders>
            <w:shd w:val="clear" w:color="auto" w:fill="C0504D"/>
          </w:tcPr>
          <w:p w:rsidR="00AD21B9" w:rsidRPr="00F64639" w:rsidRDefault="00AD21B9" w:rsidP="002F783E">
            <w:pPr>
              <w:spacing w:before="120"/>
              <w:jc w:val="both"/>
              <w:rPr>
                <w:b/>
                <w:bCs/>
                <w:color w:val="FFFFFF"/>
                <w:sz w:val="18"/>
              </w:rPr>
            </w:pPr>
            <w:r w:rsidRPr="00F64639">
              <w:rPr>
                <w:b/>
                <w:bCs/>
                <w:color w:val="FFFFFF"/>
                <w:sz w:val="18"/>
              </w:rPr>
              <w:t>Megnevezés</w:t>
            </w:r>
          </w:p>
        </w:tc>
        <w:tc>
          <w:tcPr>
            <w:tcW w:w="1390" w:type="pct"/>
            <w:tcBorders>
              <w:top w:val="single" w:sz="8" w:space="0" w:color="FFFFFF"/>
              <w:left w:val="single" w:sz="8" w:space="0" w:color="FFFFFF"/>
              <w:bottom w:val="single" w:sz="24" w:space="0" w:color="FFFFFF"/>
              <w:right w:val="single" w:sz="8" w:space="0" w:color="FFFFFF"/>
            </w:tcBorders>
            <w:shd w:val="clear" w:color="auto" w:fill="C0504D"/>
          </w:tcPr>
          <w:p w:rsidR="00AD21B9" w:rsidRPr="00F64639" w:rsidRDefault="00AD21B9" w:rsidP="002F783E">
            <w:pPr>
              <w:spacing w:before="120"/>
              <w:jc w:val="center"/>
              <w:rPr>
                <w:b/>
                <w:bCs/>
                <w:color w:val="FFFFFF"/>
                <w:sz w:val="18"/>
              </w:rPr>
            </w:pPr>
            <w:r w:rsidRPr="00F64639">
              <w:rPr>
                <w:b/>
                <w:bCs/>
                <w:color w:val="FFFFFF"/>
                <w:sz w:val="18"/>
              </w:rPr>
              <w:t>ÁTK I.</w:t>
            </w:r>
          </w:p>
        </w:tc>
        <w:tc>
          <w:tcPr>
            <w:tcW w:w="1390" w:type="pct"/>
            <w:tcBorders>
              <w:top w:val="single" w:sz="8" w:space="0" w:color="FFFFFF"/>
              <w:left w:val="single" w:sz="8" w:space="0" w:color="FFFFFF"/>
              <w:bottom w:val="single" w:sz="24" w:space="0" w:color="FFFFFF"/>
              <w:right w:val="single" w:sz="8" w:space="0" w:color="FFFFFF"/>
            </w:tcBorders>
            <w:shd w:val="clear" w:color="auto" w:fill="C0504D"/>
          </w:tcPr>
          <w:p w:rsidR="00AD21B9" w:rsidRPr="00F64639" w:rsidRDefault="00AD21B9" w:rsidP="002F783E">
            <w:pPr>
              <w:spacing w:before="120"/>
              <w:jc w:val="center"/>
              <w:rPr>
                <w:b/>
                <w:bCs/>
                <w:color w:val="FFFFFF"/>
                <w:sz w:val="18"/>
              </w:rPr>
            </w:pPr>
            <w:r w:rsidRPr="00F64639">
              <w:rPr>
                <w:b/>
                <w:bCs/>
                <w:color w:val="FFFFFF"/>
                <w:sz w:val="18"/>
              </w:rPr>
              <w:t>ÁTK II.</w:t>
            </w:r>
          </w:p>
        </w:tc>
      </w:tr>
      <w:tr w:rsidR="000E2F1A" w:rsidRPr="00F64639" w:rsidTr="002F783E">
        <w:trPr>
          <w:jc w:val="center"/>
        </w:trPr>
        <w:tc>
          <w:tcPr>
            <w:tcW w:w="2219" w:type="pct"/>
            <w:tcBorders>
              <w:top w:val="single" w:sz="8" w:space="0" w:color="FFFFFF"/>
              <w:left w:val="single" w:sz="8" w:space="0" w:color="FFFFFF"/>
              <w:bottom w:val="nil"/>
              <w:right w:val="single" w:sz="24" w:space="0" w:color="FFFFFF"/>
            </w:tcBorders>
            <w:shd w:val="clear" w:color="auto" w:fill="C0504D"/>
          </w:tcPr>
          <w:p w:rsidR="00AD21B9" w:rsidRPr="00F64639" w:rsidRDefault="00AD21B9" w:rsidP="002F783E">
            <w:pPr>
              <w:spacing w:before="120"/>
              <w:jc w:val="both"/>
              <w:rPr>
                <w:b/>
                <w:bCs/>
                <w:color w:val="FFFFFF"/>
                <w:sz w:val="18"/>
              </w:rPr>
            </w:pPr>
            <w:r w:rsidRPr="00F64639">
              <w:rPr>
                <w:b/>
                <w:bCs/>
                <w:color w:val="FFFFFF"/>
                <w:sz w:val="18"/>
              </w:rPr>
              <w:t>Támogatottak száma</w:t>
            </w:r>
          </w:p>
        </w:tc>
        <w:tc>
          <w:tcPr>
            <w:tcW w:w="1390" w:type="pct"/>
            <w:tcBorders>
              <w:top w:val="single" w:sz="8" w:space="0" w:color="FFFFFF"/>
              <w:left w:val="single" w:sz="8" w:space="0" w:color="FFFFFF"/>
              <w:bottom w:val="single" w:sz="8" w:space="0" w:color="FFFFFF"/>
              <w:right w:val="single" w:sz="8" w:space="0" w:color="FFFFFF"/>
            </w:tcBorders>
            <w:shd w:val="clear" w:color="auto" w:fill="DFA7A6"/>
          </w:tcPr>
          <w:p w:rsidR="00AD21B9" w:rsidRPr="00F64639" w:rsidRDefault="00AD21B9" w:rsidP="002F783E">
            <w:pPr>
              <w:spacing w:before="120"/>
              <w:jc w:val="center"/>
              <w:rPr>
                <w:sz w:val="18"/>
              </w:rPr>
            </w:pPr>
            <w:r w:rsidRPr="00F64639">
              <w:rPr>
                <w:sz w:val="18"/>
              </w:rPr>
              <w:t>760 db</w:t>
            </w:r>
          </w:p>
        </w:tc>
        <w:tc>
          <w:tcPr>
            <w:tcW w:w="1390" w:type="pct"/>
            <w:tcBorders>
              <w:top w:val="single" w:sz="8" w:space="0" w:color="FFFFFF"/>
              <w:left w:val="single" w:sz="8" w:space="0" w:color="FFFFFF"/>
              <w:bottom w:val="single" w:sz="8" w:space="0" w:color="FFFFFF"/>
              <w:right w:val="single" w:sz="8" w:space="0" w:color="FFFFFF"/>
            </w:tcBorders>
            <w:shd w:val="clear" w:color="auto" w:fill="DFA7A6"/>
          </w:tcPr>
          <w:p w:rsidR="00AD21B9" w:rsidRPr="00F64639" w:rsidRDefault="00AD21B9" w:rsidP="002F783E">
            <w:pPr>
              <w:spacing w:before="120"/>
              <w:jc w:val="center"/>
              <w:rPr>
                <w:sz w:val="18"/>
              </w:rPr>
            </w:pPr>
            <w:r w:rsidRPr="00F64639">
              <w:rPr>
                <w:sz w:val="18"/>
              </w:rPr>
              <w:t>1001 db</w:t>
            </w:r>
          </w:p>
        </w:tc>
      </w:tr>
      <w:tr w:rsidR="000E2F1A" w:rsidRPr="00F64639" w:rsidTr="002F783E">
        <w:trPr>
          <w:jc w:val="center"/>
        </w:trPr>
        <w:tc>
          <w:tcPr>
            <w:tcW w:w="2219" w:type="pct"/>
            <w:tcBorders>
              <w:left w:val="single" w:sz="8" w:space="0" w:color="FFFFFF"/>
              <w:bottom w:val="nil"/>
              <w:right w:val="single" w:sz="24" w:space="0" w:color="FFFFFF"/>
            </w:tcBorders>
            <w:shd w:val="clear" w:color="auto" w:fill="C0504D"/>
          </w:tcPr>
          <w:p w:rsidR="00AD21B9" w:rsidRPr="00F64639" w:rsidRDefault="00AD21B9" w:rsidP="002F783E">
            <w:pPr>
              <w:spacing w:before="120"/>
              <w:jc w:val="both"/>
              <w:rPr>
                <w:b/>
                <w:bCs/>
                <w:color w:val="FFFFFF"/>
                <w:sz w:val="18"/>
              </w:rPr>
            </w:pPr>
            <w:r w:rsidRPr="00F64639">
              <w:rPr>
                <w:b/>
                <w:bCs/>
                <w:color w:val="FFFFFF"/>
                <w:sz w:val="18"/>
              </w:rPr>
              <w:t xml:space="preserve">Felső </w:t>
            </w:r>
            <w:proofErr w:type="spellStart"/>
            <w:r w:rsidRPr="00F64639">
              <w:rPr>
                <w:b/>
                <w:bCs/>
                <w:color w:val="FFFFFF"/>
                <w:sz w:val="18"/>
              </w:rPr>
              <w:t>decilis</w:t>
            </w:r>
            <w:proofErr w:type="spellEnd"/>
            <w:r w:rsidRPr="00F64639">
              <w:rPr>
                <w:b/>
                <w:bCs/>
                <w:color w:val="FFFFFF"/>
                <w:sz w:val="18"/>
              </w:rPr>
              <w:t xml:space="preserve"> mintaszáma</w:t>
            </w:r>
          </w:p>
        </w:tc>
        <w:tc>
          <w:tcPr>
            <w:tcW w:w="1390" w:type="pct"/>
            <w:shd w:val="clear" w:color="auto" w:fill="EFD3D2"/>
          </w:tcPr>
          <w:p w:rsidR="00AD21B9" w:rsidRPr="00F64639" w:rsidRDefault="00AD21B9" w:rsidP="002F783E">
            <w:pPr>
              <w:spacing w:before="120"/>
              <w:jc w:val="center"/>
              <w:rPr>
                <w:sz w:val="18"/>
              </w:rPr>
            </w:pPr>
            <w:r w:rsidRPr="00F64639">
              <w:rPr>
                <w:sz w:val="18"/>
              </w:rPr>
              <w:t>76 db</w:t>
            </w:r>
          </w:p>
        </w:tc>
        <w:tc>
          <w:tcPr>
            <w:tcW w:w="1390" w:type="pct"/>
            <w:shd w:val="clear" w:color="auto" w:fill="EFD3D2"/>
          </w:tcPr>
          <w:p w:rsidR="00AD21B9" w:rsidRPr="00F64639" w:rsidRDefault="00AD21B9" w:rsidP="002F783E">
            <w:pPr>
              <w:spacing w:before="120"/>
              <w:jc w:val="center"/>
              <w:rPr>
                <w:sz w:val="18"/>
              </w:rPr>
            </w:pPr>
            <w:r w:rsidRPr="00F64639">
              <w:rPr>
                <w:sz w:val="18"/>
              </w:rPr>
              <w:t>100 db</w:t>
            </w:r>
          </w:p>
        </w:tc>
      </w:tr>
      <w:tr w:rsidR="000E2F1A" w:rsidRPr="00F64639" w:rsidTr="002F783E">
        <w:trPr>
          <w:jc w:val="center"/>
        </w:trPr>
        <w:tc>
          <w:tcPr>
            <w:tcW w:w="2219" w:type="pct"/>
            <w:tcBorders>
              <w:top w:val="single" w:sz="8" w:space="0" w:color="FFFFFF"/>
              <w:left w:val="single" w:sz="8" w:space="0" w:color="FFFFFF"/>
              <w:bottom w:val="nil"/>
              <w:right w:val="single" w:sz="24" w:space="0" w:color="FFFFFF"/>
            </w:tcBorders>
            <w:shd w:val="clear" w:color="auto" w:fill="C0504D"/>
          </w:tcPr>
          <w:p w:rsidR="00AD21B9" w:rsidRPr="00F64639" w:rsidRDefault="00AD21B9" w:rsidP="002F783E">
            <w:pPr>
              <w:spacing w:before="120"/>
              <w:jc w:val="both"/>
              <w:rPr>
                <w:b/>
                <w:bCs/>
                <w:color w:val="FFFFFF"/>
                <w:sz w:val="18"/>
              </w:rPr>
            </w:pPr>
            <w:r w:rsidRPr="00F64639">
              <w:rPr>
                <w:b/>
                <w:bCs/>
                <w:color w:val="FFFFFF"/>
                <w:sz w:val="18"/>
              </w:rPr>
              <w:t xml:space="preserve">Felső </w:t>
            </w:r>
            <w:proofErr w:type="spellStart"/>
            <w:r w:rsidRPr="00F64639">
              <w:rPr>
                <w:b/>
                <w:bCs/>
                <w:color w:val="FFFFFF"/>
                <w:sz w:val="18"/>
              </w:rPr>
              <w:t>decilisben</w:t>
            </w:r>
            <w:proofErr w:type="spellEnd"/>
            <w:r w:rsidRPr="00F64639">
              <w:rPr>
                <w:b/>
                <w:bCs/>
                <w:color w:val="FFFFFF"/>
                <w:sz w:val="18"/>
              </w:rPr>
              <w:t xml:space="preserve"> megítélt támogatási összeg össz</w:t>
            </w:r>
            <w:r w:rsidRPr="00F64639">
              <w:rPr>
                <w:b/>
                <w:bCs/>
                <w:color w:val="FFFFFF"/>
                <w:sz w:val="18"/>
              </w:rPr>
              <w:t>e</w:t>
            </w:r>
            <w:r w:rsidRPr="00F64639">
              <w:rPr>
                <w:b/>
                <w:bCs/>
                <w:color w:val="FFFFFF"/>
                <w:sz w:val="18"/>
              </w:rPr>
              <w:t>sen</w:t>
            </w:r>
          </w:p>
        </w:tc>
        <w:tc>
          <w:tcPr>
            <w:tcW w:w="1390" w:type="pct"/>
            <w:tcBorders>
              <w:top w:val="single" w:sz="8" w:space="0" w:color="FFFFFF"/>
              <w:left w:val="single" w:sz="8" w:space="0" w:color="FFFFFF"/>
              <w:bottom w:val="single" w:sz="8" w:space="0" w:color="FFFFFF"/>
              <w:right w:val="single" w:sz="8" w:space="0" w:color="FFFFFF"/>
            </w:tcBorders>
            <w:shd w:val="clear" w:color="auto" w:fill="DFA7A6"/>
          </w:tcPr>
          <w:p w:rsidR="00AD21B9" w:rsidRPr="00F64639" w:rsidRDefault="00AD21B9" w:rsidP="002F783E">
            <w:pPr>
              <w:spacing w:before="120"/>
              <w:jc w:val="center"/>
              <w:rPr>
                <w:sz w:val="18"/>
              </w:rPr>
            </w:pPr>
            <w:r w:rsidRPr="00F64639">
              <w:rPr>
                <w:sz w:val="18"/>
              </w:rPr>
              <w:t>41 086 081 115 Ft</w:t>
            </w:r>
          </w:p>
        </w:tc>
        <w:tc>
          <w:tcPr>
            <w:tcW w:w="1390" w:type="pct"/>
            <w:tcBorders>
              <w:top w:val="single" w:sz="8" w:space="0" w:color="FFFFFF"/>
              <w:left w:val="single" w:sz="8" w:space="0" w:color="FFFFFF"/>
              <w:bottom w:val="single" w:sz="8" w:space="0" w:color="FFFFFF"/>
              <w:right w:val="single" w:sz="8" w:space="0" w:color="FFFFFF"/>
            </w:tcBorders>
            <w:shd w:val="clear" w:color="auto" w:fill="DFA7A6"/>
          </w:tcPr>
          <w:p w:rsidR="00AD21B9" w:rsidRPr="00F64639" w:rsidRDefault="00AD21B9" w:rsidP="002F783E">
            <w:pPr>
              <w:spacing w:before="120"/>
              <w:jc w:val="center"/>
              <w:rPr>
                <w:sz w:val="18"/>
              </w:rPr>
            </w:pPr>
            <w:r w:rsidRPr="00F64639">
              <w:rPr>
                <w:sz w:val="18"/>
              </w:rPr>
              <w:t>68 380 600 049 Ft</w:t>
            </w:r>
          </w:p>
        </w:tc>
      </w:tr>
      <w:tr w:rsidR="000E2F1A" w:rsidRPr="00F64639" w:rsidTr="002F783E">
        <w:trPr>
          <w:jc w:val="center"/>
        </w:trPr>
        <w:tc>
          <w:tcPr>
            <w:tcW w:w="2219" w:type="pct"/>
            <w:tcBorders>
              <w:left w:val="single" w:sz="8" w:space="0" w:color="FFFFFF"/>
              <w:bottom w:val="nil"/>
              <w:right w:val="single" w:sz="24" w:space="0" w:color="FFFFFF"/>
            </w:tcBorders>
            <w:shd w:val="clear" w:color="auto" w:fill="C0504D"/>
          </w:tcPr>
          <w:p w:rsidR="00AD21B9" w:rsidRPr="00F64639" w:rsidRDefault="00AD21B9" w:rsidP="002F783E">
            <w:pPr>
              <w:spacing w:before="120"/>
              <w:jc w:val="both"/>
              <w:rPr>
                <w:b/>
                <w:bCs/>
                <w:color w:val="FFFFFF"/>
                <w:sz w:val="18"/>
              </w:rPr>
            </w:pPr>
            <w:r w:rsidRPr="00F64639">
              <w:rPr>
                <w:b/>
                <w:bCs/>
                <w:color w:val="FFFFFF"/>
                <w:sz w:val="18"/>
              </w:rPr>
              <w:t>Jogcímben megítélt támogatási összeg összesen</w:t>
            </w:r>
          </w:p>
        </w:tc>
        <w:tc>
          <w:tcPr>
            <w:tcW w:w="1390" w:type="pct"/>
            <w:shd w:val="clear" w:color="auto" w:fill="EFD3D2"/>
          </w:tcPr>
          <w:p w:rsidR="00AD21B9" w:rsidRPr="00F64639" w:rsidRDefault="00AD21B9" w:rsidP="002F783E">
            <w:pPr>
              <w:spacing w:before="120"/>
              <w:jc w:val="center"/>
              <w:rPr>
                <w:sz w:val="18"/>
              </w:rPr>
            </w:pPr>
            <w:r w:rsidRPr="00F64639">
              <w:rPr>
                <w:sz w:val="18"/>
              </w:rPr>
              <w:t>85 121 286 092 Ft</w:t>
            </w:r>
          </w:p>
        </w:tc>
        <w:tc>
          <w:tcPr>
            <w:tcW w:w="1390" w:type="pct"/>
            <w:shd w:val="clear" w:color="auto" w:fill="EFD3D2"/>
          </w:tcPr>
          <w:p w:rsidR="00AD21B9" w:rsidRPr="00F64639" w:rsidRDefault="00AD21B9" w:rsidP="002F783E">
            <w:pPr>
              <w:spacing w:before="120"/>
              <w:jc w:val="center"/>
              <w:rPr>
                <w:sz w:val="18"/>
              </w:rPr>
            </w:pPr>
            <w:r w:rsidRPr="00F64639">
              <w:rPr>
                <w:sz w:val="18"/>
              </w:rPr>
              <w:t>126 920 741 711 Ft</w:t>
            </w:r>
          </w:p>
        </w:tc>
      </w:tr>
      <w:tr w:rsidR="000E2F1A" w:rsidRPr="00F64639" w:rsidTr="002F783E">
        <w:trPr>
          <w:jc w:val="center"/>
        </w:trPr>
        <w:tc>
          <w:tcPr>
            <w:tcW w:w="2219" w:type="pct"/>
            <w:tcBorders>
              <w:top w:val="single" w:sz="8" w:space="0" w:color="FFFFFF"/>
              <w:left w:val="single" w:sz="8" w:space="0" w:color="FFFFFF"/>
              <w:bottom w:val="single" w:sz="8" w:space="0" w:color="FFFFFF"/>
              <w:right w:val="single" w:sz="24" w:space="0" w:color="FFFFFF"/>
            </w:tcBorders>
            <w:shd w:val="clear" w:color="auto" w:fill="C0504D"/>
          </w:tcPr>
          <w:p w:rsidR="00AD21B9" w:rsidRPr="00F64639" w:rsidRDefault="00AD21B9" w:rsidP="002F783E">
            <w:pPr>
              <w:spacing w:before="120"/>
              <w:jc w:val="both"/>
              <w:rPr>
                <w:b/>
                <w:bCs/>
                <w:color w:val="FFFFFF"/>
                <w:sz w:val="18"/>
              </w:rPr>
            </w:pPr>
            <w:r w:rsidRPr="00F64639">
              <w:rPr>
                <w:b/>
                <w:bCs/>
                <w:color w:val="FFFFFF"/>
                <w:sz w:val="18"/>
              </w:rPr>
              <w:t xml:space="preserve">Felső </w:t>
            </w:r>
            <w:proofErr w:type="spellStart"/>
            <w:r w:rsidRPr="00F64639">
              <w:rPr>
                <w:b/>
                <w:bCs/>
                <w:color w:val="FFFFFF"/>
                <w:sz w:val="18"/>
              </w:rPr>
              <w:t>decilis</w:t>
            </w:r>
            <w:proofErr w:type="spellEnd"/>
            <w:r w:rsidRPr="00F64639">
              <w:rPr>
                <w:b/>
                <w:bCs/>
                <w:color w:val="FFFFFF"/>
                <w:sz w:val="18"/>
              </w:rPr>
              <w:t xml:space="preserve"> támogatási aránya</w:t>
            </w:r>
          </w:p>
        </w:tc>
        <w:tc>
          <w:tcPr>
            <w:tcW w:w="1390" w:type="pct"/>
            <w:tcBorders>
              <w:top w:val="single" w:sz="8" w:space="0" w:color="FFFFFF"/>
              <w:left w:val="single" w:sz="8" w:space="0" w:color="FFFFFF"/>
              <w:bottom w:val="single" w:sz="8" w:space="0" w:color="FFFFFF"/>
              <w:right w:val="single" w:sz="8" w:space="0" w:color="FFFFFF"/>
            </w:tcBorders>
            <w:shd w:val="clear" w:color="auto" w:fill="DFA7A6"/>
          </w:tcPr>
          <w:p w:rsidR="00AD21B9" w:rsidRPr="00F64639" w:rsidRDefault="00AD21B9" w:rsidP="002F783E">
            <w:pPr>
              <w:spacing w:before="120"/>
              <w:jc w:val="center"/>
              <w:rPr>
                <w:b/>
                <w:i/>
                <w:sz w:val="18"/>
              </w:rPr>
            </w:pPr>
            <w:r w:rsidRPr="00F64639">
              <w:rPr>
                <w:b/>
                <w:i/>
                <w:sz w:val="18"/>
              </w:rPr>
              <w:t>48,3%</w:t>
            </w:r>
          </w:p>
        </w:tc>
        <w:tc>
          <w:tcPr>
            <w:tcW w:w="1390" w:type="pct"/>
            <w:tcBorders>
              <w:top w:val="single" w:sz="8" w:space="0" w:color="FFFFFF"/>
              <w:left w:val="single" w:sz="8" w:space="0" w:color="FFFFFF"/>
              <w:bottom w:val="single" w:sz="8" w:space="0" w:color="FFFFFF"/>
              <w:right w:val="single" w:sz="8" w:space="0" w:color="FFFFFF"/>
            </w:tcBorders>
            <w:shd w:val="clear" w:color="auto" w:fill="DFA7A6"/>
          </w:tcPr>
          <w:p w:rsidR="00AD21B9" w:rsidRPr="00F64639" w:rsidRDefault="00AD21B9" w:rsidP="002F783E">
            <w:pPr>
              <w:spacing w:before="120"/>
              <w:jc w:val="center"/>
              <w:rPr>
                <w:b/>
                <w:i/>
                <w:sz w:val="18"/>
              </w:rPr>
            </w:pPr>
            <w:r w:rsidRPr="00F64639">
              <w:rPr>
                <w:b/>
                <w:i/>
                <w:sz w:val="18"/>
              </w:rPr>
              <w:t>53,9%</w:t>
            </w:r>
          </w:p>
        </w:tc>
      </w:tr>
    </w:tbl>
    <w:p w:rsidR="00AD21B9" w:rsidRPr="00F64639" w:rsidRDefault="00075A29" w:rsidP="00E740B1">
      <w:pPr>
        <w:pStyle w:val="Caption"/>
        <w:spacing w:before="60" w:after="120" w:line="280" w:lineRule="atLeast"/>
        <w:jc w:val="center"/>
        <w:rPr>
          <w:color w:val="auto"/>
        </w:rPr>
      </w:pPr>
      <w:r w:rsidRPr="00F64639">
        <w:rPr>
          <w:color w:val="auto"/>
        </w:rPr>
        <w:fldChar w:fldCharType="begin"/>
      </w:r>
      <w:r w:rsidR="00E740B1" w:rsidRPr="00F64639">
        <w:rPr>
          <w:color w:val="auto"/>
        </w:rPr>
        <w:instrText xml:space="preserve"> SEQ táblázat \* ARABIC </w:instrText>
      </w:r>
      <w:r w:rsidRPr="00F64639">
        <w:rPr>
          <w:color w:val="auto"/>
        </w:rPr>
        <w:fldChar w:fldCharType="separate"/>
      </w:r>
      <w:r w:rsidR="00E30745" w:rsidRPr="00F64639">
        <w:rPr>
          <w:noProof/>
          <w:color w:val="auto"/>
        </w:rPr>
        <w:t>22</w:t>
      </w:r>
      <w:r w:rsidRPr="00F64639">
        <w:rPr>
          <w:color w:val="auto"/>
        </w:rPr>
        <w:fldChar w:fldCharType="end"/>
      </w:r>
      <w:r w:rsidR="00E740B1" w:rsidRPr="00F64639">
        <w:rPr>
          <w:color w:val="auto"/>
        </w:rPr>
        <w:t xml:space="preserve">. </w:t>
      </w:r>
      <w:proofErr w:type="gramStart"/>
      <w:r w:rsidR="00E740B1" w:rsidRPr="00F64639">
        <w:rPr>
          <w:color w:val="auto"/>
        </w:rPr>
        <w:t>táblázat</w:t>
      </w:r>
      <w:proofErr w:type="gramEnd"/>
      <w:r w:rsidR="00E740B1" w:rsidRPr="00F64639">
        <w:rPr>
          <w:color w:val="auto"/>
        </w:rPr>
        <w:t>: ÁTK jogcím koncentrációs jellemzői</w:t>
      </w:r>
    </w:p>
    <w:p w:rsidR="00C07C42" w:rsidRDefault="00C07C42" w:rsidP="00E42ED0">
      <w:pPr>
        <w:pStyle w:val="HUNNormal"/>
        <w:tabs>
          <w:tab w:val="left" w:pos="709"/>
        </w:tabs>
      </w:pPr>
      <w:r w:rsidRPr="00F64639">
        <w:t xml:space="preserve">Ami a beruházások </w:t>
      </w:r>
      <w:r w:rsidRPr="00F64639">
        <w:rPr>
          <w:b/>
        </w:rPr>
        <w:t>költségszerkezetét</w:t>
      </w:r>
      <w:r w:rsidRPr="00F64639">
        <w:t xml:space="preserve"> illeti, megállapítható, hogy a </w:t>
      </w:r>
      <w:r w:rsidRPr="00F64639">
        <w:rPr>
          <w:b/>
        </w:rPr>
        <w:t>technológiai kiadások</w:t>
      </w:r>
      <w:r w:rsidRPr="00F64639">
        <w:t xml:space="preserve"> </w:t>
      </w:r>
      <w:r w:rsidR="007E2B3D" w:rsidRPr="00F64639">
        <w:t>(ezen belül is a trágyaelhelyezéssel és a biogáz kezelésével kapcsolatos kiadások</w:t>
      </w:r>
      <w:r w:rsidR="004E5C31" w:rsidRPr="00F64639">
        <w:t xml:space="preserve"> 34%-al, míg az új férőhelyek létesítése 24%-al részesül</w:t>
      </w:r>
      <w:r w:rsidR="007E2B3D" w:rsidRPr="00F64639">
        <w:t xml:space="preserve">) </w:t>
      </w:r>
      <w:r w:rsidRPr="00F64639">
        <w:t xml:space="preserve">adták a teljes kiadás </w:t>
      </w:r>
      <w:r w:rsidRPr="00F64639">
        <w:rPr>
          <w:b/>
        </w:rPr>
        <w:t>80%-át</w:t>
      </w:r>
      <w:r w:rsidRPr="00F64639">
        <w:t>.</w:t>
      </w:r>
      <w:r w:rsidR="006C36F0" w:rsidRPr="00F64639">
        <w:t xml:space="preserve"> A következő táblázat szemlélteti a megítélt támogatások köl</w:t>
      </w:r>
      <w:r w:rsidR="006C36F0" w:rsidRPr="00F64639">
        <w:t>t</w:t>
      </w:r>
      <w:r w:rsidR="006C36F0" w:rsidRPr="00F64639">
        <w:t>ségszerkezeti megoszlását.</w:t>
      </w:r>
    </w:p>
    <w:p w:rsidR="000E02BE" w:rsidRDefault="000E02BE" w:rsidP="00E42ED0">
      <w:pPr>
        <w:pStyle w:val="HUNNormal"/>
        <w:tabs>
          <w:tab w:val="left" w:pos="709"/>
        </w:tabs>
      </w:pPr>
    </w:p>
    <w:p w:rsidR="000E02BE" w:rsidRDefault="000E02BE" w:rsidP="00E42ED0">
      <w:pPr>
        <w:pStyle w:val="HUNNormal"/>
        <w:tabs>
          <w:tab w:val="left" w:pos="709"/>
        </w:tabs>
      </w:pPr>
    </w:p>
    <w:p w:rsidR="000E02BE" w:rsidRPr="00F64639" w:rsidRDefault="000E02BE" w:rsidP="00E42ED0">
      <w:pPr>
        <w:pStyle w:val="HUNNormal"/>
        <w:tabs>
          <w:tab w:val="left" w:pos="709"/>
        </w:tabs>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44"/>
        <w:gridCol w:w="1211"/>
        <w:gridCol w:w="936"/>
        <w:gridCol w:w="1066"/>
        <w:gridCol w:w="936"/>
        <w:gridCol w:w="1125"/>
        <w:gridCol w:w="890"/>
        <w:gridCol w:w="1571"/>
      </w:tblGrid>
      <w:tr w:rsidR="000E2F1A" w:rsidRPr="00F64639" w:rsidTr="002F783E">
        <w:trPr>
          <w:trHeight w:val="300"/>
        </w:trPr>
        <w:tc>
          <w:tcPr>
            <w:tcW w:w="1644"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i/>
                <w:color w:val="FFFFFF"/>
                <w:sz w:val="18"/>
                <w:szCs w:val="18"/>
              </w:rPr>
            </w:pPr>
            <w:r w:rsidRPr="00F64639">
              <w:rPr>
                <w:b/>
                <w:bCs/>
                <w:color w:val="FFFFFF"/>
                <w:sz w:val="18"/>
                <w:szCs w:val="18"/>
              </w:rPr>
              <w:lastRenderedPageBreak/>
              <w:t>ÁTK I-II. jogcím</w:t>
            </w:r>
            <w:r w:rsidRPr="00F64639">
              <w:rPr>
                <w:rStyle w:val="FootnoteReference"/>
                <w:b/>
                <w:bCs/>
                <w:color w:val="FFFFFF"/>
                <w:sz w:val="18"/>
                <w:szCs w:val="18"/>
              </w:rPr>
              <w:footnoteReference w:id="68"/>
            </w:r>
          </w:p>
        </w:tc>
        <w:tc>
          <w:tcPr>
            <w:tcW w:w="1211"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Nem techn</w:t>
            </w:r>
            <w:r w:rsidRPr="00F64639">
              <w:rPr>
                <w:bCs/>
                <w:color w:val="FFFFFF"/>
                <w:sz w:val="18"/>
                <w:szCs w:val="18"/>
              </w:rPr>
              <w:t>o</w:t>
            </w:r>
            <w:r w:rsidRPr="00F64639">
              <w:rPr>
                <w:bCs/>
                <w:color w:val="FFFFFF"/>
                <w:sz w:val="18"/>
                <w:szCs w:val="18"/>
              </w:rPr>
              <w:t>lógiai kiadás</w:t>
            </w:r>
          </w:p>
        </w:tc>
        <w:tc>
          <w:tcPr>
            <w:tcW w:w="936"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Trágya-biogáz</w:t>
            </w:r>
          </w:p>
        </w:tc>
        <w:tc>
          <w:tcPr>
            <w:tcW w:w="1066"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Új férőh</w:t>
            </w:r>
            <w:r w:rsidRPr="00F64639">
              <w:rPr>
                <w:bCs/>
                <w:color w:val="FFFFFF"/>
                <w:sz w:val="18"/>
                <w:szCs w:val="18"/>
              </w:rPr>
              <w:t>e</w:t>
            </w:r>
            <w:r w:rsidRPr="00F64639">
              <w:rPr>
                <w:bCs/>
                <w:color w:val="FFFFFF"/>
                <w:sz w:val="18"/>
                <w:szCs w:val="18"/>
              </w:rPr>
              <w:t>lyek</w:t>
            </w:r>
          </w:p>
        </w:tc>
        <w:tc>
          <w:tcPr>
            <w:tcW w:w="936"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Minőség</w:t>
            </w:r>
          </w:p>
        </w:tc>
        <w:tc>
          <w:tcPr>
            <w:tcW w:w="1125"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Takarmány előállítás</w:t>
            </w:r>
          </w:p>
        </w:tc>
        <w:tc>
          <w:tcPr>
            <w:tcW w:w="890"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IT</w:t>
            </w:r>
          </w:p>
        </w:tc>
        <w:tc>
          <w:tcPr>
            <w:tcW w:w="1571"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Cs/>
                <w:color w:val="FFFFFF"/>
                <w:sz w:val="18"/>
                <w:szCs w:val="18"/>
              </w:rPr>
              <w:t>Környezetkímélő gépek</w:t>
            </w:r>
          </w:p>
        </w:tc>
      </w:tr>
      <w:tr w:rsidR="000E2F1A" w:rsidRPr="00F64639" w:rsidTr="002F783E">
        <w:trPr>
          <w:trHeight w:val="300"/>
        </w:trPr>
        <w:tc>
          <w:tcPr>
            <w:tcW w:w="1644" w:type="dxa"/>
            <w:tcBorders>
              <w:top w:val="single" w:sz="8" w:space="0" w:color="FFFFFF"/>
              <w:left w:val="single" w:sz="8" w:space="0" w:color="FFFFFF"/>
              <w:bottom w:val="single" w:sz="8" w:space="0" w:color="FFFFFF"/>
              <w:right w:val="single" w:sz="24" w:space="0" w:color="FFFFFF"/>
            </w:tcBorders>
            <w:shd w:val="clear" w:color="auto" w:fill="C0504D"/>
            <w:noWrap/>
            <w:vAlign w:val="center"/>
            <w:hideMark/>
          </w:tcPr>
          <w:p w:rsidR="00347933" w:rsidRPr="00F64639" w:rsidRDefault="00347933" w:rsidP="002F783E">
            <w:pPr>
              <w:jc w:val="center"/>
              <w:rPr>
                <w:b/>
                <w:bCs/>
                <w:color w:val="FFFFFF"/>
                <w:sz w:val="18"/>
                <w:szCs w:val="18"/>
              </w:rPr>
            </w:pPr>
            <w:r w:rsidRPr="00F64639">
              <w:rPr>
                <w:b/>
                <w:bCs/>
                <w:color w:val="FFFFFF"/>
                <w:sz w:val="18"/>
                <w:szCs w:val="18"/>
              </w:rPr>
              <w:t>Támogatási arány</w:t>
            </w:r>
          </w:p>
        </w:tc>
        <w:tc>
          <w:tcPr>
            <w:tcW w:w="121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jc w:val="center"/>
              <w:rPr>
                <w:sz w:val="18"/>
                <w:szCs w:val="18"/>
              </w:rPr>
            </w:pPr>
            <w:r w:rsidRPr="00F64639">
              <w:rPr>
                <w:sz w:val="18"/>
                <w:szCs w:val="18"/>
              </w:rPr>
              <w:t>19,8%</w:t>
            </w:r>
          </w:p>
        </w:tc>
        <w:tc>
          <w:tcPr>
            <w:tcW w:w="936"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jc w:val="center"/>
              <w:rPr>
                <w:sz w:val="18"/>
                <w:szCs w:val="18"/>
              </w:rPr>
            </w:pPr>
            <w:r w:rsidRPr="00F64639">
              <w:rPr>
                <w:sz w:val="18"/>
                <w:szCs w:val="18"/>
              </w:rPr>
              <w:t>34,3%</w:t>
            </w:r>
          </w:p>
        </w:tc>
        <w:tc>
          <w:tcPr>
            <w:tcW w:w="1066"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jc w:val="center"/>
              <w:rPr>
                <w:sz w:val="18"/>
                <w:szCs w:val="18"/>
              </w:rPr>
            </w:pPr>
            <w:r w:rsidRPr="00F64639">
              <w:rPr>
                <w:sz w:val="18"/>
                <w:szCs w:val="18"/>
              </w:rPr>
              <w:t>24,0%</w:t>
            </w:r>
          </w:p>
        </w:tc>
        <w:tc>
          <w:tcPr>
            <w:tcW w:w="936"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jc w:val="center"/>
              <w:rPr>
                <w:sz w:val="18"/>
                <w:szCs w:val="18"/>
              </w:rPr>
            </w:pPr>
            <w:r w:rsidRPr="00F64639">
              <w:rPr>
                <w:sz w:val="18"/>
                <w:szCs w:val="18"/>
              </w:rPr>
              <w:t>13,0%</w:t>
            </w:r>
          </w:p>
        </w:tc>
        <w:tc>
          <w:tcPr>
            <w:tcW w:w="1125"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jc w:val="center"/>
              <w:rPr>
                <w:sz w:val="18"/>
                <w:szCs w:val="18"/>
              </w:rPr>
            </w:pPr>
            <w:r w:rsidRPr="00F64639">
              <w:rPr>
                <w:sz w:val="18"/>
                <w:szCs w:val="18"/>
              </w:rPr>
              <w:t>8,3%</w:t>
            </w:r>
          </w:p>
        </w:tc>
        <w:tc>
          <w:tcPr>
            <w:tcW w:w="890"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jc w:val="center"/>
              <w:rPr>
                <w:sz w:val="18"/>
                <w:szCs w:val="18"/>
              </w:rPr>
            </w:pPr>
            <w:r w:rsidRPr="00F64639">
              <w:rPr>
                <w:sz w:val="18"/>
                <w:szCs w:val="18"/>
              </w:rPr>
              <w:t>0,6%</w:t>
            </w:r>
          </w:p>
        </w:tc>
        <w:tc>
          <w:tcPr>
            <w:tcW w:w="157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347933" w:rsidRPr="00F64639" w:rsidRDefault="00347933" w:rsidP="002F783E">
            <w:pPr>
              <w:keepNext/>
              <w:jc w:val="center"/>
              <w:rPr>
                <w:sz w:val="18"/>
                <w:szCs w:val="18"/>
              </w:rPr>
            </w:pPr>
            <w:r w:rsidRPr="00F64639">
              <w:rPr>
                <w:sz w:val="18"/>
                <w:szCs w:val="18"/>
              </w:rPr>
              <w:t>0,1%</w:t>
            </w:r>
          </w:p>
        </w:tc>
      </w:tr>
    </w:tbl>
    <w:p w:rsidR="00347933" w:rsidRPr="00F64639" w:rsidRDefault="00075A29" w:rsidP="00E740B1">
      <w:pPr>
        <w:pStyle w:val="Caption"/>
        <w:spacing w:before="60" w:after="120" w:line="280" w:lineRule="atLeast"/>
        <w:jc w:val="center"/>
        <w:rPr>
          <w:color w:val="auto"/>
        </w:rPr>
      </w:pPr>
      <w:r w:rsidRPr="00F64639">
        <w:rPr>
          <w:color w:val="auto"/>
        </w:rPr>
        <w:fldChar w:fldCharType="begin"/>
      </w:r>
      <w:r w:rsidR="00E740B1" w:rsidRPr="00F64639">
        <w:rPr>
          <w:color w:val="auto"/>
        </w:rPr>
        <w:instrText xml:space="preserve"> SEQ táblázat \* ARABIC </w:instrText>
      </w:r>
      <w:r w:rsidRPr="00F64639">
        <w:rPr>
          <w:color w:val="auto"/>
        </w:rPr>
        <w:fldChar w:fldCharType="separate"/>
      </w:r>
      <w:r w:rsidR="00E30745" w:rsidRPr="00F64639">
        <w:rPr>
          <w:noProof/>
          <w:color w:val="auto"/>
        </w:rPr>
        <w:t>23</w:t>
      </w:r>
      <w:r w:rsidRPr="00F64639">
        <w:rPr>
          <w:color w:val="auto"/>
        </w:rPr>
        <w:fldChar w:fldCharType="end"/>
      </w:r>
      <w:r w:rsidR="00E740B1" w:rsidRPr="00F64639">
        <w:rPr>
          <w:color w:val="auto"/>
        </w:rPr>
        <w:t>. táblázat: ÁTK jogcím kiadási tételei</w:t>
      </w:r>
    </w:p>
    <w:p w:rsidR="00A0666D" w:rsidRPr="00F64639" w:rsidRDefault="00851AC9" w:rsidP="00AD44B8">
      <w:pPr>
        <w:pStyle w:val="HUNNormal"/>
        <w:tabs>
          <w:tab w:val="left" w:pos="709"/>
        </w:tabs>
      </w:pPr>
      <w:r w:rsidRPr="00F64639">
        <w:t>Tekintettel a jelentős forrásfelhasználásra, érdemes ennél az intézkedésnél a kontextust is megvilágítani</w:t>
      </w:r>
      <w:r w:rsidR="00C56E5F" w:rsidRPr="00F64639">
        <w:t xml:space="preserve"> Dr. Kovács János az </w:t>
      </w:r>
      <w:proofErr w:type="spellStart"/>
      <w:r w:rsidR="00C56E5F" w:rsidRPr="00F64639">
        <w:t>Agroinform</w:t>
      </w:r>
      <w:proofErr w:type="spellEnd"/>
      <w:r w:rsidR="00C56E5F" w:rsidRPr="00F64639">
        <w:t xml:space="preserve"> szaklapban (2007. 10.) megjelent cikke alapján.</w:t>
      </w:r>
    </w:p>
    <w:p w:rsidR="00851AC9" w:rsidRPr="00F64639" w:rsidRDefault="00C56E5F" w:rsidP="00C56E5F">
      <w:pPr>
        <w:pStyle w:val="HUNNormal"/>
        <w:tabs>
          <w:tab w:val="left" w:pos="709"/>
        </w:tabs>
        <w:ind w:left="709"/>
        <w:rPr>
          <w:i/>
        </w:rPr>
      </w:pPr>
      <w:r w:rsidRPr="00F64639">
        <w:rPr>
          <w:i/>
        </w:rPr>
        <w:t>„</w:t>
      </w:r>
      <w:r w:rsidR="00851AC9" w:rsidRPr="00F64639">
        <w:rPr>
          <w:i/>
        </w:rPr>
        <w:t>Magyarországon a teljes jogú EU tagság elérését követően (2004. V. 1-től) a környezetvédelem t</w:t>
      </w:r>
      <w:r w:rsidR="00851AC9" w:rsidRPr="00F64639">
        <w:rPr>
          <w:i/>
        </w:rPr>
        <w:t>e</w:t>
      </w:r>
      <w:r w:rsidR="00851AC9" w:rsidRPr="00F64639">
        <w:rPr>
          <w:i/>
        </w:rPr>
        <w:t>rületén, a korábbi nemzeti szabályozórendszer helyét az uniós jogrend vette át. Magyarország ter</w:t>
      </w:r>
      <w:r w:rsidR="00851AC9" w:rsidRPr="00F64639">
        <w:rPr>
          <w:i/>
        </w:rPr>
        <w:t>ü</w:t>
      </w:r>
      <w:r w:rsidR="00851AC9" w:rsidRPr="00F64639">
        <w:rPr>
          <w:i/>
        </w:rPr>
        <w:t>letének közel fele (48%-a) nitrát-érzékeny. A 91/676/EGK „nitrát direktíva” magyarországi alkalm</w:t>
      </w:r>
      <w:r w:rsidR="00851AC9" w:rsidRPr="00F64639">
        <w:rPr>
          <w:i/>
        </w:rPr>
        <w:t>a</w:t>
      </w:r>
      <w:r w:rsidR="00851AC9" w:rsidRPr="00F64639">
        <w:rPr>
          <w:i/>
        </w:rPr>
        <w:t>zását, a vizek mezőgazdasági eredetű nitrát szennyezéssel szembeni védelméről szóló 49/2001. (IV.3.) Kormányrendelet biztosította először a hazai jogrendszerben, melyet a 27/2006-os kormán</w:t>
      </w:r>
      <w:r w:rsidR="00851AC9" w:rsidRPr="00F64639">
        <w:rPr>
          <w:i/>
        </w:rPr>
        <w:t>y</w:t>
      </w:r>
      <w:r w:rsidR="00851AC9" w:rsidRPr="00F64639">
        <w:rPr>
          <w:i/>
        </w:rPr>
        <w:t>rendelettel módosítottak, melynek értelmében a mezőgazdasági vállalkozások a környezetvédelmi célú beruházásaikat a korábbi 2005. végi határidő helyett 2009-ig lesznek kötelesek megvalósítani, ami után nem lehet majd használni azokat a telepeket, melyek nem felelnek meg a követelménye</w:t>
      </w:r>
      <w:r w:rsidR="00851AC9" w:rsidRPr="00F64639">
        <w:rPr>
          <w:i/>
        </w:rPr>
        <w:t>k</w:t>
      </w:r>
      <w:r w:rsidR="00851AC9" w:rsidRPr="00F64639">
        <w:rPr>
          <w:i/>
        </w:rPr>
        <w:t>nek, és legkésőbb egy évvel fel is kell számolni.</w:t>
      </w:r>
    </w:p>
    <w:p w:rsidR="00851AC9" w:rsidRPr="00F64639" w:rsidRDefault="00851AC9" w:rsidP="00C56E5F">
      <w:pPr>
        <w:pStyle w:val="HUNNormal"/>
        <w:tabs>
          <w:tab w:val="left" w:pos="709"/>
        </w:tabs>
        <w:ind w:left="709"/>
        <w:rPr>
          <w:i/>
        </w:rPr>
      </w:pPr>
      <w:r w:rsidRPr="00F64639">
        <w:rPr>
          <w:i/>
        </w:rPr>
        <w:t>A nitrát-rendelet előírásai szerint almos technológia esetén 8 havi, hígtrágyás technológia esetén 4 havi trágyamennyiség szivárgásmentes tárolását kell biztosítani. Gondot jelent számos termelőnek, hogy költséges a trágyatárolók előírásoknak megfelelő ki- illetve átalakítása. A megkívánt tárolók f</w:t>
      </w:r>
      <w:r w:rsidRPr="00F64639">
        <w:rPr>
          <w:i/>
        </w:rPr>
        <w:t>ó</w:t>
      </w:r>
      <w:r w:rsidRPr="00F64639">
        <w:rPr>
          <w:i/>
        </w:rPr>
        <w:t>liával bélelt föld-, vagy betonfalú medencék, tartályok, illetve fémtartályok lehetnek. Mivel a hazai gyakorlatra korábban a földmedencés tárolás volt a legjellemzőbb, illetve a hígtrágya, tavakban és szikkasztó medencékben került elhelyezésre, a legtöbb gazdálkodó ezeket alakítja át az előíráso</w:t>
      </w:r>
      <w:r w:rsidRPr="00F64639">
        <w:rPr>
          <w:i/>
        </w:rPr>
        <w:t>k</w:t>
      </w:r>
      <w:r w:rsidRPr="00F64639">
        <w:rPr>
          <w:i/>
        </w:rPr>
        <w:t>nak megfelelően. A korszerűsítésnél jelentős költségnövelő tényező a speciális, szivárgásmentes f</w:t>
      </w:r>
      <w:r w:rsidRPr="00F64639">
        <w:rPr>
          <w:i/>
        </w:rPr>
        <w:t>ó</w:t>
      </w:r>
      <w:r w:rsidRPr="00F64639">
        <w:rPr>
          <w:i/>
        </w:rPr>
        <w:t>lia alkalmazása, a tároló szivárgásérzékelő monitoring rendszerének kialakítása, valamint a keverő-berendezések beüzemelése.</w:t>
      </w:r>
    </w:p>
    <w:p w:rsidR="00851AC9" w:rsidRPr="00F64639" w:rsidRDefault="00851AC9" w:rsidP="00C56E5F">
      <w:pPr>
        <w:pStyle w:val="HUNNormal"/>
        <w:tabs>
          <w:tab w:val="left" w:pos="709"/>
        </w:tabs>
        <w:ind w:left="709"/>
        <w:rPr>
          <w:i/>
        </w:rPr>
      </w:pPr>
      <w:r w:rsidRPr="00F64639">
        <w:rPr>
          <w:i/>
        </w:rPr>
        <w:t>A gyakorlatban ez azt jelenti, hogy a keletkező hígtrágya elhelyezésére tehenenként, havonta 2 m3 tárlóhelyre van szükség, ami fél éves tárolást alapul véve is 12 m3/tehén zárt rendszerű trágyatár</w:t>
      </w:r>
      <w:r w:rsidRPr="00F64639">
        <w:rPr>
          <w:i/>
        </w:rPr>
        <w:t>o</w:t>
      </w:r>
      <w:r w:rsidRPr="00F64639">
        <w:rPr>
          <w:i/>
        </w:rPr>
        <w:t>lást szükségeltet. Ez egy 100 tehenes telep esetében 1.200 m3–es tároló megépítését vagy átal</w:t>
      </w:r>
      <w:r w:rsidRPr="00F64639">
        <w:rPr>
          <w:i/>
        </w:rPr>
        <w:t>a</w:t>
      </w:r>
      <w:r w:rsidR="00E740B1" w:rsidRPr="00F64639">
        <w:rPr>
          <w:i/>
        </w:rPr>
        <w:t>kítását vonja maga után.</w:t>
      </w:r>
    </w:p>
    <w:p w:rsidR="00851AC9" w:rsidRPr="00F64639" w:rsidRDefault="00851AC9" w:rsidP="00C56E5F">
      <w:pPr>
        <w:pStyle w:val="HUNNormal"/>
        <w:tabs>
          <w:tab w:val="left" w:pos="709"/>
        </w:tabs>
        <w:ind w:left="709"/>
        <w:rPr>
          <w:i/>
        </w:rPr>
      </w:pPr>
      <w:r w:rsidRPr="00F64639">
        <w:rPr>
          <w:i/>
        </w:rPr>
        <w:t>Az elterjedtebb almos technológia alkalmazása esetén mintegy 1500 m3 trágyatároló kapacitásra, továbbá a fejőházi tisztítóvíz 2400 m3-es hígtrág</w:t>
      </w:r>
      <w:r w:rsidR="00E740B1" w:rsidRPr="00F64639">
        <w:rPr>
          <w:i/>
        </w:rPr>
        <w:t>ya tározójára van szükség.</w:t>
      </w:r>
    </w:p>
    <w:p w:rsidR="00851AC9" w:rsidRPr="00F64639" w:rsidRDefault="00851AC9" w:rsidP="00C56E5F">
      <w:pPr>
        <w:pStyle w:val="HUNNormal"/>
        <w:tabs>
          <w:tab w:val="left" w:pos="709"/>
        </w:tabs>
        <w:ind w:left="709"/>
        <w:rPr>
          <w:i/>
        </w:rPr>
      </w:pPr>
      <w:r w:rsidRPr="00F64639">
        <w:rPr>
          <w:i/>
        </w:rPr>
        <w:t xml:space="preserve">A sertéstelepeken kocánként 10,8 m3 hígtrágya-, 2,0 m3 szilárd fázisú trágya és 80,0 m3 almos </w:t>
      </w:r>
      <w:r w:rsidR="00E740B1" w:rsidRPr="00F64639">
        <w:rPr>
          <w:i/>
        </w:rPr>
        <w:t>trágyatárolási</w:t>
      </w:r>
      <w:r w:rsidRPr="00F64639">
        <w:rPr>
          <w:i/>
        </w:rPr>
        <w:t xml:space="preserve"> </w:t>
      </w:r>
      <w:r w:rsidR="00E740B1" w:rsidRPr="00F64639">
        <w:rPr>
          <w:i/>
        </w:rPr>
        <w:t>kapacitással kell rendelkezniük</w:t>
      </w:r>
    </w:p>
    <w:p w:rsidR="00851AC9" w:rsidRPr="00F64639" w:rsidRDefault="00851AC9" w:rsidP="00C56E5F">
      <w:pPr>
        <w:pStyle w:val="HUNNormal"/>
        <w:tabs>
          <w:tab w:val="left" w:pos="709"/>
        </w:tabs>
        <w:ind w:left="709"/>
        <w:rPr>
          <w:i/>
        </w:rPr>
      </w:pPr>
      <w:r w:rsidRPr="00F64639">
        <w:rPr>
          <w:i/>
        </w:rPr>
        <w:t>A rendelkezések a szerves trágyával kijuttatható nitrogén mennyiségét is limitálták.</w:t>
      </w:r>
    </w:p>
    <w:p w:rsidR="00851AC9" w:rsidRPr="00F64639" w:rsidRDefault="00851AC9" w:rsidP="00C56E5F">
      <w:pPr>
        <w:pStyle w:val="HUNNormal"/>
        <w:tabs>
          <w:tab w:val="left" w:pos="709"/>
        </w:tabs>
        <w:ind w:left="709"/>
        <w:rPr>
          <w:i/>
        </w:rPr>
      </w:pPr>
      <w:r w:rsidRPr="00F64639">
        <w:rPr>
          <w:i/>
        </w:rPr>
        <w:t>A rendelet alapján, a fajlagosan kijuttatható nitrogén mennyiség, attól függően, hogy baromfi, ma</w:t>
      </w:r>
      <w:r w:rsidRPr="00F64639">
        <w:rPr>
          <w:i/>
        </w:rPr>
        <w:t>r</w:t>
      </w:r>
      <w:r w:rsidRPr="00F64639">
        <w:rPr>
          <w:i/>
        </w:rPr>
        <w:t>ha, vagy sertéstrágyáról van szó, 17-34 t/ha/év között változik. Az évenként kijuttatható 170 kg/ha–</w:t>
      </w:r>
      <w:proofErr w:type="spellStart"/>
      <w:r w:rsidRPr="00F64639">
        <w:rPr>
          <w:i/>
        </w:rPr>
        <w:t>ban</w:t>
      </w:r>
      <w:proofErr w:type="spellEnd"/>
      <w:r w:rsidRPr="00F64639">
        <w:rPr>
          <w:i/>
        </w:rPr>
        <w:t xml:space="preserve"> megszabott nitrogén mennyiség, költségnövelő tényező, ha korábban nagyobb adagot, pl. 200 kg/ha-t használtak. Most ugyanezt a mennyiséget 24%-kal nagyobb területre lehet kijutta</w:t>
      </w:r>
      <w:r w:rsidRPr="00F64639">
        <w:rPr>
          <w:i/>
        </w:rPr>
        <w:t>t</w:t>
      </w:r>
      <w:r w:rsidRPr="00F64639">
        <w:rPr>
          <w:i/>
        </w:rPr>
        <w:t>ni.</w:t>
      </w:r>
    </w:p>
    <w:p w:rsidR="00851AC9" w:rsidRPr="00F64639" w:rsidRDefault="00851AC9" w:rsidP="00C56E5F">
      <w:pPr>
        <w:pStyle w:val="HUNNormal"/>
        <w:tabs>
          <w:tab w:val="left" w:pos="709"/>
        </w:tabs>
        <w:ind w:left="709"/>
        <w:rPr>
          <w:i/>
        </w:rPr>
      </w:pPr>
      <w:r w:rsidRPr="00F64639">
        <w:rPr>
          <w:i/>
        </w:rPr>
        <w:lastRenderedPageBreak/>
        <w:t>Az állattartónak számolnia kell azzal, újabb felhasználók után kell néznie, ha az állattenyésztő nem rendelkezik megfelelő nagyságú területtel, továbbá magasabbak lesznek a szállítási költségek, mi</w:t>
      </w:r>
      <w:r w:rsidRPr="00F64639">
        <w:rPr>
          <w:i/>
        </w:rPr>
        <w:t>u</w:t>
      </w:r>
      <w:r w:rsidRPr="00F64639">
        <w:rPr>
          <w:i/>
        </w:rPr>
        <w:t>tán nagyobb területre kell kijuttatni a trágyát.</w:t>
      </w:r>
    </w:p>
    <w:p w:rsidR="00851AC9" w:rsidRPr="00F64639" w:rsidRDefault="00851AC9" w:rsidP="00C56E5F">
      <w:pPr>
        <w:pStyle w:val="HUNNormal"/>
        <w:tabs>
          <w:tab w:val="left" w:pos="709"/>
        </w:tabs>
        <w:ind w:left="709"/>
        <w:rPr>
          <w:i/>
        </w:rPr>
      </w:pPr>
      <w:r w:rsidRPr="00F64639">
        <w:rPr>
          <w:i/>
        </w:rPr>
        <w:t>Többeket érinthet hátrányosan az új rendelkezés, mely szerint nitrát-érzékenynek kell tekinteni minden település belterületét, ahol mezőgazdasági tevékenység engedélyezett, és a felszín alatti víz nitrát tartalma bizonyítottan meghaladja az 50 mg/l-t. A bizonyítás költsége a mezőgazdasági tev</w:t>
      </w:r>
      <w:r w:rsidRPr="00F64639">
        <w:rPr>
          <w:i/>
        </w:rPr>
        <w:t>é</w:t>
      </w:r>
      <w:r w:rsidRPr="00F64639">
        <w:rPr>
          <w:i/>
        </w:rPr>
        <w:t>kenységet végzőt terheli. Ehhez adódhat hozzá a nitrát-rendeletben előírt adatszolgáltatási kötel</w:t>
      </w:r>
      <w:r w:rsidRPr="00F64639">
        <w:rPr>
          <w:i/>
        </w:rPr>
        <w:t>e</w:t>
      </w:r>
      <w:r w:rsidRPr="00F64639">
        <w:rPr>
          <w:i/>
        </w:rPr>
        <w:t>zettség betartásának költsége.</w:t>
      </w:r>
      <w:r w:rsidR="00C56E5F" w:rsidRPr="00F64639">
        <w:rPr>
          <w:i/>
        </w:rPr>
        <w:t>”</w:t>
      </w:r>
    </w:p>
    <w:p w:rsidR="00C56E5F" w:rsidRPr="00F64639" w:rsidRDefault="00C56E5F" w:rsidP="00A0666D">
      <w:pPr>
        <w:pStyle w:val="HUNNormal"/>
        <w:tabs>
          <w:tab w:val="left" w:pos="709"/>
        </w:tabs>
      </w:pPr>
      <w:r w:rsidRPr="00F64639">
        <w:t>Hozzátartozik még a kontextushoz, hogy Magyarország az összes nagy állattartó telepet</w:t>
      </w:r>
      <w:r w:rsidRPr="00F64639">
        <w:rPr>
          <w:rStyle w:val="FootnoteReference"/>
        </w:rPr>
        <w:footnoteReference w:id="69"/>
      </w:r>
      <w:r w:rsidRPr="00F64639">
        <w:t xml:space="preserve"> nitrát érzékeny területté nyilvánította annak érdekében, hogy azok jogosultak legyenek a 75%-os támogatásra.</w:t>
      </w:r>
    </w:p>
    <w:p w:rsidR="009A6693" w:rsidRPr="00F64639" w:rsidRDefault="009A6693" w:rsidP="00F801AC">
      <w:pPr>
        <w:pStyle w:val="HUNNormal"/>
        <w:tabs>
          <w:tab w:val="left" w:pos="709"/>
        </w:tabs>
        <w:rPr>
          <w:b/>
        </w:rPr>
      </w:pPr>
      <w:r w:rsidRPr="00F64639">
        <w:rPr>
          <w:b/>
        </w:rPr>
        <w:t>Relevanciaelemzés</w:t>
      </w:r>
    </w:p>
    <w:p w:rsidR="005677AB" w:rsidRPr="00F64639" w:rsidRDefault="005677AB" w:rsidP="00F801AC">
      <w:pPr>
        <w:pStyle w:val="HUNNormal"/>
        <w:tabs>
          <w:tab w:val="left" w:pos="709"/>
        </w:tabs>
      </w:pPr>
      <w:r w:rsidRPr="00F64639">
        <w:t>A jogcím</w:t>
      </w:r>
      <w:r w:rsidR="00F07001" w:rsidRPr="00F64639">
        <w:t xml:space="preserve"> relevánsnak tekinthető a technológiai korszerűsítési cél szempontjából, részben a környezetvéde</w:t>
      </w:r>
      <w:r w:rsidR="00F07001" w:rsidRPr="00F64639">
        <w:t>l</w:t>
      </w:r>
      <w:r w:rsidR="00F07001" w:rsidRPr="00F64639">
        <w:t>mi célok szerint is, valamint részben a mezőgazdaság szerkezetátalakítása szempontjából is. A jogcím ker</w:t>
      </w:r>
      <w:r w:rsidR="00F07001" w:rsidRPr="00F64639">
        <w:t>e</w:t>
      </w:r>
      <w:r w:rsidR="00F07001" w:rsidRPr="00F64639">
        <w:t>tében jelentős mennyiségű megújuló energia, illetve vízvédelmi beruházás valósult meg. Az állattartó telepek korszerűsítése, illetve a férőhelybővítések hozzájárultak az állattartás részarányában tapasztalható csökk</w:t>
      </w:r>
      <w:r w:rsidR="00F07001" w:rsidRPr="00F64639">
        <w:t>e</w:t>
      </w:r>
      <w:r w:rsidR="00F07001" w:rsidRPr="00F64639">
        <w:t xml:space="preserve">nés lassításához. </w:t>
      </w:r>
    </w:p>
    <w:p w:rsidR="00F801AC" w:rsidRPr="00F64639" w:rsidRDefault="00F07001" w:rsidP="00F801AC">
      <w:pPr>
        <w:pStyle w:val="HUNNormal"/>
        <w:tabs>
          <w:tab w:val="left" w:pos="709"/>
        </w:tabs>
      </w:pPr>
      <w:r w:rsidRPr="00F64639">
        <w:t>A</w:t>
      </w:r>
      <w:r w:rsidR="00F801AC" w:rsidRPr="00F64639">
        <w:t xml:space="preserve"> trágyakezeléssel/elhelyezéssel kapcsolatos beruházásoknak</w:t>
      </w:r>
      <w:r w:rsidRPr="00F64639">
        <w:t xml:space="preserve"> a módosított határidő szerint is</w:t>
      </w:r>
      <w:r w:rsidR="00F801AC" w:rsidRPr="00F64639">
        <w:t xml:space="preserve"> 2010. </w:t>
      </w:r>
      <w:r w:rsidRPr="00F64639">
        <w:t>okt</w:t>
      </w:r>
      <w:r w:rsidRPr="00F64639">
        <w:t>ó</w:t>
      </w:r>
      <w:r w:rsidRPr="00F64639">
        <w:t>ber 31-ig kellett megtörténnie, ellenkező esetben a jelzett határidő után a környezetvédelmi előírásokat nem teljesítő állattartó telepek bezárásra kerülnek. A jogcím ehhez adott pénzügyi segítséget a támogatott ga</w:t>
      </w:r>
      <w:r w:rsidRPr="00F64639">
        <w:t>z</w:t>
      </w:r>
      <w:r w:rsidRPr="00F64639">
        <w:t>daságokban.</w:t>
      </w:r>
      <w:r w:rsidR="00F801AC" w:rsidRPr="00F64639">
        <w:t xml:space="preserve"> </w:t>
      </w:r>
    </w:p>
    <w:p w:rsidR="009A6693" w:rsidRPr="00F64639" w:rsidRDefault="00F07001" w:rsidP="009A6693">
      <w:pPr>
        <w:pStyle w:val="HUNNormal"/>
        <w:tabs>
          <w:tab w:val="left" w:pos="709"/>
        </w:tabs>
      </w:pPr>
      <w:r w:rsidRPr="00F64639">
        <w:t>A jogcím relevanciájánál kell szót ejteni a t</w:t>
      </w:r>
      <w:r w:rsidR="009A6693" w:rsidRPr="00F64639">
        <w:t>ámoga</w:t>
      </w:r>
      <w:r w:rsidRPr="00F64639">
        <w:t>tásról való lemondás lehetőségéről is</w:t>
      </w:r>
      <w:r w:rsidR="009A6693" w:rsidRPr="00F64639">
        <w:t xml:space="preserve">. </w:t>
      </w:r>
      <w:r w:rsidRPr="00F64639">
        <w:t>A kedvező támog</w:t>
      </w:r>
      <w:r w:rsidRPr="00F64639">
        <w:t>a</w:t>
      </w:r>
      <w:r w:rsidRPr="00F64639">
        <w:t xml:space="preserve">tási arány és a „könnyített” benyújtási lehetőség sok olyan kérelmezőt is vonzott, akiknek nincs meg a kellő tőkeerejük, felkészültségük a fejlesztés befejezéséhez. Ezt a helyzetet tovább rontotta a pénzügyi válság, ami a finanszírozási lehetőségeket beszűkítette. </w:t>
      </w:r>
      <w:r w:rsidR="009A6693" w:rsidRPr="00F64639">
        <w:t xml:space="preserve">Az ÁTKI. és ÁTK II. kérelmezők </w:t>
      </w:r>
      <w:r w:rsidRPr="00F64639">
        <w:t xml:space="preserve">egy része </w:t>
      </w:r>
      <w:r w:rsidR="009A6693" w:rsidRPr="00F64639">
        <w:t>nagy valószínűsé</w:t>
      </w:r>
      <w:r w:rsidR="009A6693" w:rsidRPr="00F64639">
        <w:t>g</w:t>
      </w:r>
      <w:r w:rsidR="009A6693" w:rsidRPr="00F64639">
        <w:t>gel lemond</w:t>
      </w:r>
      <w:r w:rsidRPr="00F64639">
        <w:t xml:space="preserve"> majd</w:t>
      </w:r>
      <w:r w:rsidR="009A6693" w:rsidRPr="00F64639">
        <w:t xml:space="preserve"> a fejlesztés egy részéről, prognosztizálható azonban, hogy ezt csak a megvalósítási hatá</w:t>
      </w:r>
      <w:r w:rsidR="009A6693" w:rsidRPr="00F64639">
        <w:t>r</w:t>
      </w:r>
      <w:r w:rsidR="009A6693" w:rsidRPr="00F64639">
        <w:t xml:space="preserve">idő végén fogják megtenni. </w:t>
      </w:r>
    </w:p>
    <w:p w:rsidR="009A6693" w:rsidRPr="00F64639" w:rsidRDefault="009A6693" w:rsidP="009A6693">
      <w:pPr>
        <w:pStyle w:val="HUNNormal"/>
        <w:tabs>
          <w:tab w:val="left" w:pos="709"/>
        </w:tabs>
      </w:pPr>
      <w:r w:rsidRPr="00F64639">
        <w:t>Az ÁTK III jogcím számos változást hozott az előző két jogcím meghirdetéséhez képest. A változások között szerepel, hogy nem volt gépberuházás és 75%-os támogatási lehetőség. Bár a gépre sokan igényeltek volna támogatást a viszonylag magas támogatási kulcs miatt (40-50-60%)</w:t>
      </w:r>
      <w:r w:rsidR="00914D2A" w:rsidRPr="00F64639">
        <w:t>,</w:t>
      </w:r>
      <w:r w:rsidRPr="00F64639">
        <w:t xml:space="preserve"> de a gépek kivétele a jogcímből megf</w:t>
      </w:r>
      <w:r w:rsidRPr="00F64639">
        <w:t>e</w:t>
      </w:r>
      <w:r w:rsidRPr="00F64639">
        <w:t>lelő kompromisszumot jelentett ahhoz, hogy minél több állattartó telep valósulhasson meg ugyanakkora támogatási forrásból.</w:t>
      </w:r>
    </w:p>
    <w:p w:rsidR="009A6693" w:rsidRPr="00F64639" w:rsidRDefault="009A6693" w:rsidP="009A6693">
      <w:pPr>
        <w:pStyle w:val="HUNNormal"/>
        <w:tabs>
          <w:tab w:val="left" w:pos="709"/>
        </w:tabs>
      </w:pPr>
      <w:r w:rsidRPr="00F64639">
        <w:t>További fontos változás, hogy a megvalósítási időszak bár nem rövidült, de kötötté vált, vagyis a kérelm</w:t>
      </w:r>
      <w:r w:rsidRPr="00F64639">
        <w:t>e</w:t>
      </w:r>
      <w:r w:rsidRPr="00F64639">
        <w:t>zőknek a határozat kézhezvételétől számított egy éven belül meg kellett kezdeni a beruházást, illetve a m</w:t>
      </w:r>
      <w:r w:rsidRPr="00F64639">
        <w:t>á</w:t>
      </w:r>
      <w:r w:rsidRPr="00F64639">
        <w:t xml:space="preserve">sodik év végéig a beruházásnak 50%-os készültségi szintet el kell érni. </w:t>
      </w:r>
      <w:r w:rsidR="00F07001" w:rsidRPr="00F64639">
        <w:t>Az ÁTK III jogcímnél ezért kevésbé várható a megvalósítás során a korábbi jogcímekhez mérhető bizonytalanság a forrásfelhasználás során.</w:t>
      </w:r>
    </w:p>
    <w:p w:rsidR="00F801AC" w:rsidRPr="00F64639" w:rsidRDefault="0052539C" w:rsidP="00A0666D">
      <w:pPr>
        <w:pStyle w:val="HUNNormal"/>
        <w:tabs>
          <w:tab w:val="left" w:pos="709"/>
        </w:tabs>
      </w:pPr>
      <w:r w:rsidRPr="00F64639">
        <w:t>A jogcím kapcsán két indikátor elemzése indokolt igazán: az intézkedés 6200 állatt</w:t>
      </w:r>
      <w:r w:rsidR="000221D6" w:rsidRPr="00F64639">
        <w:t>enyésztő gazdálkodás támogatását tűzte ki célul. Amennyiben a jogcímben támogattak számát összeadjuk a „Gépbeszerzés” jo</w:t>
      </w:r>
      <w:r w:rsidR="000221D6" w:rsidRPr="00F64639">
        <w:t>g</w:t>
      </w:r>
      <w:r w:rsidR="000221D6" w:rsidRPr="00F64639">
        <w:t>címben támogatott 707 állattenyésztő gazdasággal, akkor is csak 2055 támogatott gazdasággal számolh</w:t>
      </w:r>
      <w:r w:rsidR="000221D6" w:rsidRPr="00F64639">
        <w:t>a</w:t>
      </w:r>
      <w:r w:rsidR="000221D6" w:rsidRPr="00F64639">
        <w:t xml:space="preserve">tunk, ami elmarad a célértéktől, miközben az intézkedés kerete </w:t>
      </w:r>
      <w:r w:rsidR="00A7595C" w:rsidRPr="00F64639">
        <w:t xml:space="preserve">az ÁTK </w:t>
      </w:r>
      <w:proofErr w:type="spellStart"/>
      <w:r w:rsidR="00A7595C" w:rsidRPr="00F64639">
        <w:t>III</w:t>
      </w:r>
      <w:r w:rsidR="001B1B73" w:rsidRPr="00F64639">
        <w:t>-mal</w:t>
      </w:r>
      <w:proofErr w:type="spellEnd"/>
      <w:r w:rsidR="001B1B73" w:rsidRPr="00F64639">
        <w:t xml:space="preserve"> kimerül és az abból támog</w:t>
      </w:r>
      <w:r w:rsidR="001B1B73" w:rsidRPr="00F64639">
        <w:t>a</w:t>
      </w:r>
      <w:r w:rsidR="001B1B73" w:rsidRPr="00F64639">
        <w:lastRenderedPageBreak/>
        <w:t xml:space="preserve">tott gazdaságok számával sem teljesülne az indikátor. A megújuló </w:t>
      </w:r>
      <w:proofErr w:type="gramStart"/>
      <w:r w:rsidR="001B1B73" w:rsidRPr="00F64639">
        <w:t>energia fejlesztéssel</w:t>
      </w:r>
      <w:proofErr w:type="gramEnd"/>
      <w:r w:rsidR="001B1B73" w:rsidRPr="00F64639">
        <w:t xml:space="preserve"> támogatott gazdas</w:t>
      </w:r>
      <w:r w:rsidR="001B1B73" w:rsidRPr="00F64639">
        <w:t>á</w:t>
      </w:r>
      <w:r w:rsidR="001B1B73" w:rsidRPr="00F64639">
        <w:t xml:space="preserve">gok számához az intézkedés </w:t>
      </w:r>
      <w:r w:rsidR="001E2EE0" w:rsidRPr="00F64639">
        <w:t xml:space="preserve">jelentősen hozzájárul, bár az adatok alapján a pontos szám behatárolására nem volt lehetőségünk. Amennyiben azonban az összes projektet ideszámítanánk, </w:t>
      </w:r>
      <w:r w:rsidR="00914D2A" w:rsidRPr="00F64639">
        <w:t xml:space="preserve">akkor </w:t>
      </w:r>
      <w:r w:rsidR="001E2EE0" w:rsidRPr="00F64639">
        <w:t>se teljesül</w:t>
      </w:r>
      <w:r w:rsidR="00914D2A" w:rsidRPr="00F64639">
        <w:t>ne</w:t>
      </w:r>
      <w:r w:rsidR="001E2EE0" w:rsidRPr="00F64639">
        <w:t xml:space="preserve"> a 8100 gazdaság támogatását kitűző célérték. A nagyságrendi különbséget nem tudja se a „Kazáncsere” se a „Kertészeti üzemek korszerűsítése” jogcím kipótolni.</w:t>
      </w:r>
    </w:p>
    <w:p w:rsidR="00A0666D" w:rsidRPr="00F64639" w:rsidRDefault="00C56E5F" w:rsidP="00AD44B8">
      <w:pPr>
        <w:pStyle w:val="HUNNormal"/>
        <w:tabs>
          <w:tab w:val="left" w:pos="709"/>
        </w:tabs>
        <w:rPr>
          <w:b/>
        </w:rPr>
      </w:pPr>
      <w:r w:rsidRPr="00F64639">
        <w:rPr>
          <w:b/>
        </w:rPr>
        <w:t>Hatásvizsgálat</w:t>
      </w:r>
    </w:p>
    <w:p w:rsidR="00D0488C" w:rsidRPr="00F64639" w:rsidRDefault="00D0488C" w:rsidP="00AD44B8">
      <w:pPr>
        <w:pStyle w:val="HUNNormal"/>
        <w:tabs>
          <w:tab w:val="left" w:pos="709"/>
        </w:tabs>
      </w:pPr>
      <w:r w:rsidRPr="00F64639">
        <w:t xml:space="preserve">Ennél a jogcímnél is hasonló gazdasági hatásmechanizmusokat kell feltételezni, mint a </w:t>
      </w:r>
      <w:r w:rsidR="001E2EE0" w:rsidRPr="00F64639">
        <w:t>technológia korsz</w:t>
      </w:r>
      <w:r w:rsidR="001E2EE0" w:rsidRPr="00F64639">
        <w:t>e</w:t>
      </w:r>
      <w:r w:rsidR="001E2EE0" w:rsidRPr="00F64639">
        <w:t>rűsítési jogcímek</w:t>
      </w:r>
      <w:r w:rsidRPr="00F64639">
        <w:t xml:space="preserve"> kapcsán tettük.</w:t>
      </w:r>
    </w:p>
    <w:p w:rsidR="00E128C2" w:rsidRPr="00F64639" w:rsidRDefault="00D0488C" w:rsidP="00AD44B8">
      <w:pPr>
        <w:pStyle w:val="HUNNormal"/>
        <w:tabs>
          <w:tab w:val="left" w:pos="709"/>
        </w:tabs>
      </w:pPr>
      <w:r w:rsidRPr="00F64639">
        <w:t>Ezért ugyanazzal a modellel vizsgáltuk a jogcím sikerességét is. A FADN adatai alapján összeállított kiegye</w:t>
      </w:r>
      <w:r w:rsidRPr="00F64639">
        <w:t>n</w:t>
      </w:r>
      <w:r w:rsidRPr="00F64639">
        <w:t>lített panel vizsgálata, nyilvánvalóan</w:t>
      </w:r>
      <w:r w:rsidR="00DB739C" w:rsidRPr="00F64639">
        <w:t xml:space="preserve"> ugyanazt az eredményt hoz</w:t>
      </w:r>
      <w:r w:rsidR="000F3B33" w:rsidRPr="00F64639">
        <w:t>z</w:t>
      </w:r>
      <w:r w:rsidR="00DB739C" w:rsidRPr="00F64639">
        <w:t>a mind a jövedelmezőség, mind a munk</w:t>
      </w:r>
      <w:r w:rsidR="00DB739C" w:rsidRPr="00F64639">
        <w:t>a</w:t>
      </w:r>
      <w:r w:rsidR="00DB739C" w:rsidRPr="00F64639">
        <w:t>erő-felhasználás, mind</w:t>
      </w:r>
      <w:r w:rsidR="00E740B1" w:rsidRPr="00F64639">
        <w:t xml:space="preserve"> a termelékenység tekintetében.</w:t>
      </w:r>
    </w:p>
    <w:p w:rsidR="00D0488C" w:rsidRPr="00F64639" w:rsidRDefault="00E128C2" w:rsidP="00AD44B8">
      <w:pPr>
        <w:pStyle w:val="HUNNormal"/>
        <w:tabs>
          <w:tab w:val="left" w:pos="709"/>
        </w:tabs>
      </w:pPr>
      <w:r w:rsidRPr="00F64639">
        <w:t xml:space="preserve">Nevezetesen </w:t>
      </w:r>
      <w:r w:rsidRPr="00F64639">
        <w:rPr>
          <w:b/>
        </w:rPr>
        <w:t>pozitív kapcsolat áll fent a hozzáadott érték növekedése és a támogatás ténye között (130</w:t>
      </w:r>
      <w:r w:rsidR="0022006B" w:rsidRPr="00F64639">
        <w:rPr>
          <w:b/>
        </w:rPr>
        <w:t xml:space="preserve"> Ft</w:t>
      </w:r>
      <w:r w:rsidRPr="00F64639">
        <w:rPr>
          <w:b/>
        </w:rPr>
        <w:t xml:space="preserve"> nettó hozzáadott érték növekedés 1000</w:t>
      </w:r>
      <w:r w:rsidR="0022006B" w:rsidRPr="00F64639">
        <w:rPr>
          <w:b/>
        </w:rPr>
        <w:t xml:space="preserve"> Ft</w:t>
      </w:r>
      <w:r w:rsidRPr="00F64639">
        <w:rPr>
          <w:b/>
        </w:rPr>
        <w:t xml:space="preserve"> támogatás hatására).</w:t>
      </w:r>
      <w:r w:rsidRPr="00F64639">
        <w:t xml:space="preserve"> </w:t>
      </w:r>
      <w:r w:rsidRPr="00F64639">
        <w:rPr>
          <w:b/>
        </w:rPr>
        <w:t>A munkaerő-felhasználásnál nem tudtunk hatást mérni a munkaerő termelékenységénél pedig enyhe pozitív kapcsolatot mértünk.</w:t>
      </w:r>
      <w:r w:rsidRPr="00F64639">
        <w:t xml:space="preserve"> </w:t>
      </w:r>
      <w:r w:rsidR="00DB739C" w:rsidRPr="00F64639">
        <w:t>A részletes szám</w:t>
      </w:r>
      <w:r w:rsidR="00DB739C" w:rsidRPr="00F64639">
        <w:t>o</w:t>
      </w:r>
      <w:r w:rsidR="00DB739C" w:rsidRPr="00F64639">
        <w:t>kat az előző fejezetben</w:t>
      </w:r>
      <w:r w:rsidRPr="00F64639">
        <w:t>, illetve a 2.2. kötetben</w:t>
      </w:r>
      <w:r w:rsidR="00DB739C" w:rsidRPr="00F64639">
        <w:t xml:space="preserve"> ismertetjük.</w:t>
      </w:r>
    </w:p>
    <w:p w:rsidR="00E128C2" w:rsidRPr="00F64639" w:rsidRDefault="00E128C2" w:rsidP="00AD44B8">
      <w:pPr>
        <w:pStyle w:val="HUNNormal"/>
        <w:tabs>
          <w:tab w:val="left" w:pos="709"/>
        </w:tabs>
      </w:pPr>
      <w:r w:rsidRPr="00F64639">
        <w:t>Tekintettel a jogcím jelentős forrásigényére megpróbáltuk a jövedelmezőségre és a foglalkoztatásra vona</w:t>
      </w:r>
      <w:r w:rsidRPr="00F64639">
        <w:t>t</w:t>
      </w:r>
      <w:r w:rsidRPr="00F64639">
        <w:t>kozó hatásokat csak erre a jogcímre</w:t>
      </w:r>
      <w:r w:rsidR="00E66A4E" w:rsidRPr="00F64639">
        <w:t xml:space="preserve"> külön </w:t>
      </w:r>
      <w:r w:rsidR="00E740B1" w:rsidRPr="00F64639">
        <w:t>is vizsgálni.</w:t>
      </w:r>
    </w:p>
    <w:p w:rsidR="00E128C2" w:rsidRPr="00F64639" w:rsidRDefault="00E128C2" w:rsidP="00E128C2">
      <w:pPr>
        <w:pStyle w:val="HUNNormal"/>
      </w:pPr>
      <w:r w:rsidRPr="00F64639">
        <w:t>A</w:t>
      </w:r>
      <w:r w:rsidR="00E60677" w:rsidRPr="00F64639">
        <w:t xml:space="preserve"> jövedelmezőség</w:t>
      </w:r>
      <w:r w:rsidRPr="00F64639">
        <w:t xml:space="preserve"> kontrollcsoportos vizsgálatához a jóváhagyott támogatási kérelmek, valamint az OPTEN Mérlegtár „Értékesítés nettó árbevétele” adatát használtuk fel. A vizsgált csoport ÁTK esetében 260 lezárt projektből állt, míg a kontrollcsoport kizárólag olyan, támogatási kérelmet benyújtó entitásokat tartalmaz, melyek nem kaptak támogatást az adott jogcímből. A kontrollcsoport kiválasztásánál törekedtünk a region</w:t>
      </w:r>
      <w:r w:rsidRPr="00F64639">
        <w:t>á</w:t>
      </w:r>
      <w:r w:rsidRPr="00F64639">
        <w:t>lis reprezentativitásra, mint azt a következő táblázatok is szemléltetik.</w:t>
      </w:r>
    </w:p>
    <w:p w:rsidR="00E128C2" w:rsidRPr="00F64639" w:rsidRDefault="00374E45" w:rsidP="00E128C2">
      <w:pPr>
        <w:pStyle w:val="HUNNormal"/>
        <w:keepNext/>
        <w:jc w:val="center"/>
      </w:pPr>
      <w:r w:rsidRPr="00F64639">
        <w:rPr>
          <w:noProof/>
        </w:rPr>
        <w:drawing>
          <wp:inline distT="0" distB="0" distL="0" distR="0">
            <wp:extent cx="5527315" cy="1839907"/>
            <wp:effectExtent l="19050" t="19050" r="54335" b="26993"/>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51999"/>
                    <a:stretch>
                      <a:fillRect/>
                    </a:stretch>
                  </pic:blipFill>
                  <pic:spPr bwMode="auto">
                    <a:xfrm>
                      <a:off x="0" y="0"/>
                      <a:ext cx="5527315" cy="183990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E60677" w:rsidRPr="00F64639" w:rsidRDefault="00075A29" w:rsidP="00E60677">
      <w:pPr>
        <w:pStyle w:val="Caption"/>
        <w:spacing w:before="240"/>
        <w:jc w:val="center"/>
        <w:rPr>
          <w:color w:val="auto"/>
        </w:rPr>
      </w:pPr>
      <w:r w:rsidRPr="00F64639">
        <w:rPr>
          <w:color w:val="auto"/>
        </w:rPr>
        <w:fldChar w:fldCharType="begin"/>
      </w:r>
      <w:r w:rsidR="00E60677" w:rsidRPr="00F64639">
        <w:rPr>
          <w:color w:val="auto"/>
        </w:rPr>
        <w:instrText xml:space="preserve"> SEQ táblázat \* ARABIC </w:instrText>
      </w:r>
      <w:r w:rsidRPr="00F64639">
        <w:rPr>
          <w:color w:val="auto"/>
        </w:rPr>
        <w:fldChar w:fldCharType="separate"/>
      </w:r>
      <w:r w:rsidR="00E30745" w:rsidRPr="00F64639">
        <w:rPr>
          <w:noProof/>
          <w:color w:val="auto"/>
        </w:rPr>
        <w:t>24</w:t>
      </w:r>
      <w:r w:rsidRPr="00F64639">
        <w:rPr>
          <w:color w:val="auto"/>
        </w:rPr>
        <w:fldChar w:fldCharType="end"/>
      </w:r>
      <w:r w:rsidR="00E60677" w:rsidRPr="00F64639">
        <w:rPr>
          <w:color w:val="auto"/>
        </w:rPr>
        <w:t>. táblázat: ÁTK vizsgált és kontroll csoport regionális összetétele</w:t>
      </w:r>
    </w:p>
    <w:p w:rsidR="00E128C2" w:rsidRPr="00F64639" w:rsidRDefault="00E128C2" w:rsidP="00E128C2">
      <w:pPr>
        <w:jc w:val="both"/>
      </w:pPr>
      <w:r w:rsidRPr="00F64639">
        <w:t xml:space="preserve">Az OPTEN Mérlegtárban rendelkezésre álló adatok tovább szűkítették a vizsgált és a kontrollcsoport méretét, hiszen csak olyan entitásokat hagyhattunk az egyes csoportokban, melyek esetében az induló és a legutolsó gazdasági évre (2007 és 2009) összevethető adatot találtunk (a TK adatlapon és az </w:t>
      </w:r>
      <w:proofErr w:type="spellStart"/>
      <w:r w:rsidRPr="00F64639">
        <w:t>OPTEN-ben</w:t>
      </w:r>
      <w:proofErr w:type="spellEnd"/>
      <w:r w:rsidRPr="00F64639">
        <w:t xml:space="preserve"> is volt adat). Mindezek után a modellben vizsgálható elemszám ÁTK esetében 92</w:t>
      </w:r>
      <w:r w:rsidR="00E66A4E" w:rsidRPr="00F64639">
        <w:t xml:space="preserve"> db (kontroll: 104 db)</w:t>
      </w:r>
      <w:r w:rsidRPr="00F64639">
        <w:t>.</w:t>
      </w:r>
    </w:p>
    <w:p w:rsidR="00E128C2" w:rsidRPr="00F64639" w:rsidRDefault="00E66A4E" w:rsidP="00E128C2">
      <w:pPr>
        <w:jc w:val="both"/>
      </w:pPr>
      <w:r w:rsidRPr="00F64639">
        <w:t>M</w:t>
      </w:r>
      <w:r w:rsidR="00E128C2" w:rsidRPr="00F64639">
        <w:t>egvizsgáltuk az árbevétel növekedés (abszolút és relatív értelemben) kapcsolatát a támogatásokkal (ö</w:t>
      </w:r>
      <w:r w:rsidR="00E128C2" w:rsidRPr="00F64639">
        <w:t>s</w:t>
      </w:r>
      <w:r w:rsidR="00E128C2" w:rsidRPr="00F64639">
        <w:t xml:space="preserve">szegek, illetve a bináris, támogatottság ténye változók segítségével). A modellek egyszerű OLS becslések. A modellekben a keresztmetszeti </w:t>
      </w:r>
      <w:proofErr w:type="spellStart"/>
      <w:r w:rsidR="00E128C2" w:rsidRPr="00F64639">
        <w:t>heteroszkedaszticitás</w:t>
      </w:r>
      <w:proofErr w:type="spellEnd"/>
      <w:r w:rsidR="00E128C2" w:rsidRPr="00F64639">
        <w:t xml:space="preserve"> jelenlétére kontrollálva White-féle robosztus standard hibákat használtunk.</w:t>
      </w:r>
    </w:p>
    <w:p w:rsidR="00E60677" w:rsidRPr="00F64639" w:rsidRDefault="00E66A4E" w:rsidP="00E60677">
      <w:pPr>
        <w:jc w:val="both"/>
      </w:pPr>
      <w:r w:rsidRPr="00F64639">
        <w:lastRenderedPageBreak/>
        <w:t>A jogcím</w:t>
      </w:r>
      <w:r w:rsidR="00E60677" w:rsidRPr="00F64639">
        <w:t xml:space="preserve"> vizsgálata során megállapítottuk, az átlagos árbevétel növekedés 33%-os volt lezárt projektek és a kontrollcsoport körében</w:t>
      </w:r>
      <w:r w:rsidR="00E60677" w:rsidRPr="00F64639">
        <w:rPr>
          <w:b/>
        </w:rPr>
        <w:t>,</w:t>
      </w:r>
      <w:r w:rsidR="00E60677" w:rsidRPr="00F64639">
        <w:t xml:space="preserve"> ami abszolút értékben </w:t>
      </w:r>
      <w:r w:rsidR="00E60677" w:rsidRPr="00F64639">
        <w:rPr>
          <w:b/>
        </w:rPr>
        <w:t>40 milliós növekedést jelent átlagosan</w:t>
      </w:r>
      <w:r w:rsidR="00E60677" w:rsidRPr="00F64639">
        <w:t xml:space="preserve"> 2009 és 2007 k</w:t>
      </w:r>
      <w:r w:rsidR="00E60677" w:rsidRPr="00F64639">
        <w:t>ö</w:t>
      </w:r>
      <w:r w:rsidR="00E60677" w:rsidRPr="00F64639">
        <w:t xml:space="preserve">zött. </w:t>
      </w:r>
    </w:p>
    <w:tbl>
      <w:tblPr>
        <w:tblW w:w="0" w:type="auto"/>
        <w:jc w:val="center"/>
        <w:tblLook w:val="04A0"/>
      </w:tblPr>
      <w:tblGrid>
        <w:gridCol w:w="960"/>
        <w:gridCol w:w="960"/>
        <w:gridCol w:w="960"/>
        <w:gridCol w:w="960"/>
        <w:gridCol w:w="960"/>
        <w:gridCol w:w="960"/>
        <w:gridCol w:w="960"/>
        <w:gridCol w:w="1017"/>
      </w:tblGrid>
      <w:tr w:rsidR="000E2F1A" w:rsidRPr="00F64639" w:rsidTr="002F783E">
        <w:trPr>
          <w:trHeight w:val="285"/>
          <w:jc w:val="center"/>
        </w:trPr>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Függő változók</w:t>
            </w:r>
          </w:p>
        </w:tc>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Átlag</w:t>
            </w:r>
          </w:p>
        </w:tc>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Medián</w:t>
            </w:r>
          </w:p>
        </w:tc>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Maximum</w:t>
            </w:r>
          </w:p>
        </w:tc>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Minimum</w:t>
            </w:r>
          </w:p>
        </w:tc>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Szórás</w:t>
            </w:r>
          </w:p>
        </w:tc>
        <w:tc>
          <w:tcPr>
            <w:tcW w:w="960"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Ferdeség</w:t>
            </w:r>
          </w:p>
        </w:tc>
        <w:tc>
          <w:tcPr>
            <w:tcW w:w="1017" w:type="dxa"/>
            <w:tcBorders>
              <w:bottom w:val="single" w:sz="12" w:space="0" w:color="FFFFFF"/>
            </w:tcBorders>
            <w:shd w:val="clear" w:color="auto" w:fill="9E3A38"/>
            <w:noWrap/>
            <w:vAlign w:val="center"/>
            <w:hideMark/>
          </w:tcPr>
          <w:p w:rsidR="00E60677" w:rsidRPr="00F64639" w:rsidRDefault="00E60677" w:rsidP="002F783E">
            <w:pPr>
              <w:jc w:val="center"/>
              <w:rPr>
                <w:b/>
                <w:bCs/>
                <w:color w:val="FFFFFF"/>
                <w:sz w:val="16"/>
                <w:szCs w:val="18"/>
              </w:rPr>
            </w:pPr>
            <w:r w:rsidRPr="00F64639">
              <w:rPr>
                <w:b/>
                <w:bCs/>
                <w:color w:val="FFFFFF"/>
                <w:sz w:val="16"/>
                <w:szCs w:val="18"/>
              </w:rPr>
              <w:t>Csúcsosság</w:t>
            </w:r>
          </w:p>
        </w:tc>
      </w:tr>
      <w:tr w:rsidR="000E2F1A" w:rsidRPr="00F64639" w:rsidTr="002F783E">
        <w:trPr>
          <w:trHeight w:val="270"/>
          <w:jc w:val="center"/>
        </w:trPr>
        <w:tc>
          <w:tcPr>
            <w:tcW w:w="960" w:type="dxa"/>
            <w:shd w:val="clear" w:color="auto" w:fill="F2DBDB"/>
            <w:noWrap/>
            <w:vAlign w:val="center"/>
            <w:hideMark/>
          </w:tcPr>
          <w:p w:rsidR="00E60677" w:rsidRPr="00F64639" w:rsidRDefault="00E60677" w:rsidP="002F783E">
            <w:pPr>
              <w:jc w:val="center"/>
              <w:rPr>
                <w:b/>
                <w:bCs/>
                <w:color w:val="000000"/>
                <w:sz w:val="16"/>
                <w:szCs w:val="18"/>
              </w:rPr>
            </w:pPr>
            <w:r w:rsidRPr="00F64639">
              <w:rPr>
                <w:b/>
                <w:bCs/>
                <w:color w:val="000000"/>
                <w:sz w:val="16"/>
                <w:szCs w:val="18"/>
              </w:rPr>
              <w:t>REV</w:t>
            </w:r>
          </w:p>
        </w:tc>
        <w:tc>
          <w:tcPr>
            <w:tcW w:w="960"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0.334362</w:t>
            </w:r>
          </w:p>
        </w:tc>
        <w:tc>
          <w:tcPr>
            <w:tcW w:w="960"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0.060443</w:t>
            </w:r>
          </w:p>
        </w:tc>
        <w:tc>
          <w:tcPr>
            <w:tcW w:w="960"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17.84152</w:t>
            </w:r>
          </w:p>
        </w:tc>
        <w:tc>
          <w:tcPr>
            <w:tcW w:w="960"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 .998540</w:t>
            </w:r>
          </w:p>
        </w:tc>
        <w:tc>
          <w:tcPr>
            <w:tcW w:w="960"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1.840031</w:t>
            </w:r>
          </w:p>
        </w:tc>
        <w:tc>
          <w:tcPr>
            <w:tcW w:w="960"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6.945961</w:t>
            </w:r>
          </w:p>
        </w:tc>
        <w:tc>
          <w:tcPr>
            <w:tcW w:w="1017" w:type="dxa"/>
            <w:shd w:val="clear" w:color="auto" w:fill="F2DBDB"/>
            <w:noWrap/>
            <w:vAlign w:val="center"/>
            <w:hideMark/>
          </w:tcPr>
          <w:p w:rsidR="00E60677" w:rsidRPr="00F64639" w:rsidRDefault="00E60677" w:rsidP="002F783E">
            <w:pPr>
              <w:jc w:val="center"/>
              <w:rPr>
                <w:color w:val="000000"/>
                <w:sz w:val="16"/>
                <w:szCs w:val="18"/>
              </w:rPr>
            </w:pPr>
            <w:r w:rsidRPr="00F64639">
              <w:rPr>
                <w:color w:val="000000"/>
                <w:sz w:val="16"/>
                <w:szCs w:val="18"/>
              </w:rPr>
              <w:t>57.92937</w:t>
            </w:r>
          </w:p>
        </w:tc>
      </w:tr>
      <w:tr w:rsidR="000E2F1A" w:rsidRPr="00F64639" w:rsidTr="002F783E">
        <w:trPr>
          <w:trHeight w:val="270"/>
          <w:jc w:val="center"/>
        </w:trPr>
        <w:tc>
          <w:tcPr>
            <w:tcW w:w="960" w:type="dxa"/>
            <w:shd w:val="clear" w:color="auto" w:fill="F8EDED"/>
            <w:noWrap/>
            <w:vAlign w:val="center"/>
            <w:hideMark/>
          </w:tcPr>
          <w:p w:rsidR="00E60677" w:rsidRPr="00F64639" w:rsidRDefault="00E60677" w:rsidP="002F783E">
            <w:pPr>
              <w:jc w:val="center"/>
              <w:rPr>
                <w:b/>
                <w:bCs/>
                <w:color w:val="000000"/>
                <w:sz w:val="16"/>
                <w:szCs w:val="18"/>
              </w:rPr>
            </w:pPr>
            <w:r w:rsidRPr="00F64639">
              <w:rPr>
                <w:b/>
                <w:bCs/>
                <w:color w:val="000000"/>
                <w:sz w:val="16"/>
                <w:szCs w:val="18"/>
              </w:rPr>
              <w:t>REVABS</w:t>
            </w:r>
          </w:p>
        </w:tc>
        <w:tc>
          <w:tcPr>
            <w:tcW w:w="960" w:type="dxa"/>
            <w:shd w:val="clear" w:color="auto" w:fill="F8EDED"/>
            <w:noWrap/>
            <w:vAlign w:val="center"/>
            <w:hideMark/>
          </w:tcPr>
          <w:p w:rsidR="00E60677" w:rsidRPr="00F64639" w:rsidRDefault="00E60677" w:rsidP="002F783E">
            <w:pPr>
              <w:jc w:val="center"/>
              <w:rPr>
                <w:color w:val="000000"/>
                <w:sz w:val="16"/>
                <w:szCs w:val="18"/>
              </w:rPr>
            </w:pPr>
            <w:r w:rsidRPr="00F64639">
              <w:rPr>
                <w:color w:val="000000"/>
                <w:sz w:val="16"/>
                <w:szCs w:val="18"/>
              </w:rPr>
              <w:t>40442.65</w:t>
            </w:r>
          </w:p>
        </w:tc>
        <w:tc>
          <w:tcPr>
            <w:tcW w:w="960" w:type="dxa"/>
            <w:shd w:val="clear" w:color="auto" w:fill="F8EDED"/>
            <w:noWrap/>
            <w:vAlign w:val="center"/>
            <w:hideMark/>
          </w:tcPr>
          <w:p w:rsidR="00E60677" w:rsidRPr="00F64639" w:rsidRDefault="00E60677" w:rsidP="002F783E">
            <w:pPr>
              <w:jc w:val="center"/>
              <w:rPr>
                <w:color w:val="000000"/>
                <w:sz w:val="16"/>
                <w:szCs w:val="18"/>
              </w:rPr>
            </w:pPr>
            <w:r w:rsidRPr="00F64639">
              <w:rPr>
                <w:color w:val="000000"/>
                <w:sz w:val="16"/>
                <w:szCs w:val="18"/>
              </w:rPr>
              <w:t>3304.500</w:t>
            </w:r>
          </w:p>
        </w:tc>
        <w:tc>
          <w:tcPr>
            <w:tcW w:w="960" w:type="dxa"/>
            <w:shd w:val="clear" w:color="auto" w:fill="F8EDED"/>
            <w:noWrap/>
            <w:vAlign w:val="center"/>
            <w:hideMark/>
          </w:tcPr>
          <w:p w:rsidR="00E60677" w:rsidRPr="00F64639" w:rsidRDefault="00E60677" w:rsidP="002F783E">
            <w:pPr>
              <w:jc w:val="center"/>
              <w:rPr>
                <w:color w:val="000000"/>
                <w:sz w:val="16"/>
                <w:szCs w:val="18"/>
              </w:rPr>
            </w:pPr>
            <w:r w:rsidRPr="00F64639">
              <w:rPr>
                <w:color w:val="000000"/>
                <w:sz w:val="16"/>
                <w:szCs w:val="18"/>
              </w:rPr>
              <w:t>3762294.</w:t>
            </w:r>
          </w:p>
        </w:tc>
        <w:tc>
          <w:tcPr>
            <w:tcW w:w="960" w:type="dxa"/>
            <w:shd w:val="clear" w:color="auto" w:fill="F8EDED"/>
            <w:noWrap/>
            <w:vAlign w:val="center"/>
            <w:hideMark/>
          </w:tcPr>
          <w:p w:rsidR="00E60677" w:rsidRPr="00F64639" w:rsidRDefault="00E60677" w:rsidP="002F783E">
            <w:pPr>
              <w:jc w:val="center"/>
              <w:rPr>
                <w:color w:val="000000"/>
                <w:sz w:val="16"/>
                <w:szCs w:val="18"/>
              </w:rPr>
            </w:pPr>
            <w:r w:rsidRPr="00F64639">
              <w:rPr>
                <w:color w:val="000000"/>
                <w:sz w:val="16"/>
                <w:szCs w:val="18"/>
              </w:rPr>
              <w:t>-2309772</w:t>
            </w:r>
          </w:p>
        </w:tc>
        <w:tc>
          <w:tcPr>
            <w:tcW w:w="960" w:type="dxa"/>
            <w:shd w:val="clear" w:color="auto" w:fill="F8EDED"/>
            <w:noWrap/>
            <w:vAlign w:val="center"/>
            <w:hideMark/>
          </w:tcPr>
          <w:p w:rsidR="00E60677" w:rsidRPr="00F64639" w:rsidRDefault="00E60677" w:rsidP="002F783E">
            <w:pPr>
              <w:jc w:val="center"/>
              <w:rPr>
                <w:color w:val="000000"/>
                <w:sz w:val="16"/>
                <w:szCs w:val="18"/>
              </w:rPr>
            </w:pPr>
            <w:r w:rsidRPr="00F64639">
              <w:rPr>
                <w:color w:val="000000"/>
                <w:sz w:val="16"/>
                <w:szCs w:val="18"/>
              </w:rPr>
              <w:t>404951.3</w:t>
            </w:r>
          </w:p>
        </w:tc>
        <w:tc>
          <w:tcPr>
            <w:tcW w:w="960" w:type="dxa"/>
            <w:shd w:val="clear" w:color="auto" w:fill="F8EDED"/>
            <w:noWrap/>
            <w:vAlign w:val="center"/>
            <w:hideMark/>
          </w:tcPr>
          <w:p w:rsidR="00E60677" w:rsidRPr="00F64639" w:rsidRDefault="00E60677" w:rsidP="002F783E">
            <w:pPr>
              <w:jc w:val="center"/>
              <w:rPr>
                <w:color w:val="000000"/>
                <w:sz w:val="16"/>
                <w:szCs w:val="18"/>
              </w:rPr>
            </w:pPr>
            <w:r w:rsidRPr="00F64639">
              <w:rPr>
                <w:color w:val="000000"/>
                <w:sz w:val="16"/>
                <w:szCs w:val="18"/>
              </w:rPr>
              <w:t>3.577999</w:t>
            </w:r>
          </w:p>
        </w:tc>
        <w:tc>
          <w:tcPr>
            <w:tcW w:w="1017" w:type="dxa"/>
            <w:shd w:val="clear" w:color="auto" w:fill="F8EDED"/>
            <w:noWrap/>
            <w:vAlign w:val="center"/>
            <w:hideMark/>
          </w:tcPr>
          <w:p w:rsidR="00E60677" w:rsidRPr="00F64639" w:rsidRDefault="00E60677" w:rsidP="002F783E">
            <w:pPr>
              <w:keepNext/>
              <w:jc w:val="center"/>
              <w:rPr>
                <w:color w:val="000000"/>
                <w:sz w:val="16"/>
                <w:szCs w:val="18"/>
              </w:rPr>
            </w:pPr>
            <w:r w:rsidRPr="00F64639">
              <w:rPr>
                <w:color w:val="000000"/>
                <w:sz w:val="16"/>
                <w:szCs w:val="18"/>
              </w:rPr>
              <w:t>46.99179</w:t>
            </w:r>
          </w:p>
        </w:tc>
      </w:tr>
    </w:tbl>
    <w:p w:rsidR="00E60677" w:rsidRPr="00F64639" w:rsidRDefault="00075A29" w:rsidP="00E60677">
      <w:pPr>
        <w:pStyle w:val="Caption"/>
        <w:spacing w:before="240"/>
        <w:jc w:val="center"/>
        <w:rPr>
          <w:color w:val="auto"/>
        </w:rPr>
      </w:pPr>
      <w:r w:rsidRPr="00F64639">
        <w:rPr>
          <w:color w:val="auto"/>
        </w:rPr>
        <w:fldChar w:fldCharType="begin"/>
      </w:r>
      <w:r w:rsidR="00E60677" w:rsidRPr="00F64639">
        <w:rPr>
          <w:color w:val="auto"/>
        </w:rPr>
        <w:instrText xml:space="preserve"> SEQ táblázat \* ARABIC </w:instrText>
      </w:r>
      <w:r w:rsidRPr="00F64639">
        <w:rPr>
          <w:color w:val="auto"/>
        </w:rPr>
        <w:fldChar w:fldCharType="separate"/>
      </w:r>
      <w:bookmarkStart w:id="10" w:name="_Ref278205673"/>
      <w:r w:rsidR="00E30745" w:rsidRPr="00F64639">
        <w:rPr>
          <w:noProof/>
          <w:color w:val="auto"/>
        </w:rPr>
        <w:t>25</w:t>
      </w:r>
      <w:bookmarkEnd w:id="10"/>
      <w:r w:rsidRPr="00F64639">
        <w:rPr>
          <w:color w:val="auto"/>
        </w:rPr>
        <w:fldChar w:fldCharType="end"/>
      </w:r>
      <w:r w:rsidR="00E60677" w:rsidRPr="00F64639">
        <w:rPr>
          <w:color w:val="auto"/>
        </w:rPr>
        <w:t xml:space="preserve">. táblázat: Függő változóink leíró statisztikája az </w:t>
      </w:r>
      <w:proofErr w:type="spellStart"/>
      <w:r w:rsidR="00E60677" w:rsidRPr="00F64639">
        <w:rPr>
          <w:color w:val="auto"/>
        </w:rPr>
        <w:t>ökonometriai</w:t>
      </w:r>
      <w:proofErr w:type="spellEnd"/>
      <w:r w:rsidR="00E60677" w:rsidRPr="00F64639">
        <w:rPr>
          <w:color w:val="auto"/>
        </w:rPr>
        <w:t xml:space="preserve"> modellben</w:t>
      </w:r>
    </w:p>
    <w:p w:rsidR="00E128C2" w:rsidRPr="00F64639" w:rsidRDefault="00E60677" w:rsidP="00E60677">
      <w:pPr>
        <w:jc w:val="both"/>
      </w:pPr>
      <w:r w:rsidRPr="00F64639">
        <w:t xml:space="preserve">Megállapítható továbbá, hogy 5%-os </w:t>
      </w:r>
      <w:proofErr w:type="spellStart"/>
      <w:r w:rsidRPr="00F64639">
        <w:t>szignifikancia</w:t>
      </w:r>
      <w:proofErr w:type="spellEnd"/>
      <w:r w:rsidRPr="00F64639">
        <w:t xml:space="preserve"> szint mellett a támogatások jelenlétének hatása átlag</w:t>
      </w:r>
      <w:r w:rsidRPr="00F64639">
        <w:t>o</w:t>
      </w:r>
      <w:r w:rsidRPr="00F64639">
        <w:t xml:space="preserve">san 60 százalékponttal emelte a 2009-es árbevétel/2007-es árbevétel alapon képzett árbevétel növekmény százalékos értékét a </w:t>
      </w:r>
      <w:r w:rsidRPr="00F64639">
        <w:rPr>
          <w:b/>
        </w:rPr>
        <w:t>lezárt</w:t>
      </w:r>
      <w:r w:rsidRPr="00F64639">
        <w:t xml:space="preserve"> </w:t>
      </w:r>
      <w:r w:rsidRPr="00F64639">
        <w:rPr>
          <w:b/>
        </w:rPr>
        <w:t>ÁTK</w:t>
      </w:r>
      <w:r w:rsidRPr="00F64639">
        <w:t xml:space="preserve"> </w:t>
      </w:r>
      <w:r w:rsidRPr="00F64639">
        <w:rPr>
          <w:b/>
        </w:rPr>
        <w:t>projekttel</w:t>
      </w:r>
      <w:r w:rsidRPr="00F64639">
        <w:t xml:space="preserve"> </w:t>
      </w:r>
      <w:r w:rsidRPr="00F64639">
        <w:rPr>
          <w:b/>
        </w:rPr>
        <w:t>rendelkező</w:t>
      </w:r>
      <w:r w:rsidRPr="00F64639">
        <w:t xml:space="preserve"> </w:t>
      </w:r>
      <w:r w:rsidRPr="00F64639">
        <w:rPr>
          <w:b/>
        </w:rPr>
        <w:t>entitások</w:t>
      </w:r>
      <w:r w:rsidRPr="00F64639">
        <w:t xml:space="preserve"> körében</w:t>
      </w:r>
      <w:r w:rsidR="00993A31">
        <w:t>.</w:t>
      </w:r>
    </w:p>
    <w:p w:rsidR="00E60677" w:rsidRPr="00F64639" w:rsidRDefault="00E60677" w:rsidP="00E60677">
      <w:pPr>
        <w:jc w:val="both"/>
      </w:pPr>
      <w:r w:rsidRPr="00F64639">
        <w:t xml:space="preserve">Az </w:t>
      </w:r>
      <w:proofErr w:type="spellStart"/>
      <w:r w:rsidRPr="00F64639">
        <w:t>ÁTK-ban</w:t>
      </w:r>
      <w:proofErr w:type="spellEnd"/>
      <w:r w:rsidRPr="00F64639">
        <w:t xml:space="preserve"> lezárt projektek gazdasági hatása a kontrollcsoporttal szemben, a vizsgálatunk alapján kimuta</w:t>
      </w:r>
      <w:r w:rsidRPr="00F64639">
        <w:t>t</w:t>
      </w:r>
      <w:r w:rsidR="00E740B1" w:rsidRPr="00F64639">
        <w:t>ható</w:t>
      </w:r>
      <w:r w:rsidRPr="00F64639">
        <w:t>.</w:t>
      </w:r>
    </w:p>
    <w:tbl>
      <w:tblPr>
        <w:tblW w:w="0" w:type="auto"/>
        <w:tblBorders>
          <w:top w:val="single" w:sz="18" w:space="0" w:color="auto"/>
          <w:bottom w:val="single" w:sz="18" w:space="0" w:color="auto"/>
        </w:tblBorders>
        <w:tblLook w:val="04A0"/>
      </w:tblPr>
      <w:tblGrid>
        <w:gridCol w:w="3101"/>
        <w:gridCol w:w="3101"/>
        <w:gridCol w:w="3101"/>
      </w:tblGrid>
      <w:tr w:rsidR="000E2F1A" w:rsidRPr="00F64639" w:rsidTr="002F783E">
        <w:tc>
          <w:tcPr>
            <w:tcW w:w="3101" w:type="dxa"/>
            <w:tcBorders>
              <w:top w:val="single" w:sz="18" w:space="0" w:color="auto"/>
              <w:left w:val="nil"/>
              <w:bottom w:val="single" w:sz="18" w:space="0" w:color="auto"/>
              <w:right w:val="nil"/>
            </w:tcBorders>
            <w:shd w:val="clear" w:color="auto" w:fill="C0504D"/>
            <w:vAlign w:val="center"/>
          </w:tcPr>
          <w:p w:rsidR="00E60677" w:rsidRPr="00F64639" w:rsidRDefault="00E60677" w:rsidP="002F783E">
            <w:pPr>
              <w:jc w:val="center"/>
              <w:rPr>
                <w:b/>
                <w:bCs/>
                <w:color w:val="FFFFFF"/>
                <w:sz w:val="18"/>
              </w:rPr>
            </w:pPr>
          </w:p>
        </w:tc>
        <w:tc>
          <w:tcPr>
            <w:tcW w:w="3101" w:type="dxa"/>
            <w:tcBorders>
              <w:top w:val="single" w:sz="18" w:space="0" w:color="auto"/>
              <w:left w:val="nil"/>
              <w:bottom w:val="single" w:sz="18" w:space="0" w:color="auto"/>
              <w:right w:val="nil"/>
            </w:tcBorders>
            <w:shd w:val="clear" w:color="auto" w:fill="C0504D"/>
            <w:vAlign w:val="center"/>
          </w:tcPr>
          <w:p w:rsidR="00E60677" w:rsidRPr="00F64639" w:rsidRDefault="00E60677" w:rsidP="002F783E">
            <w:pPr>
              <w:jc w:val="center"/>
              <w:rPr>
                <w:b/>
                <w:bCs/>
                <w:color w:val="FFFFFF"/>
                <w:sz w:val="18"/>
              </w:rPr>
            </w:pPr>
            <w:r w:rsidRPr="00F64639">
              <w:rPr>
                <w:b/>
                <w:bCs/>
                <w:color w:val="FFFFFF"/>
                <w:sz w:val="18"/>
              </w:rPr>
              <w:t>Lezárt projektek</w:t>
            </w:r>
          </w:p>
        </w:tc>
        <w:tc>
          <w:tcPr>
            <w:tcW w:w="3101" w:type="dxa"/>
            <w:tcBorders>
              <w:top w:val="single" w:sz="18" w:space="0" w:color="auto"/>
              <w:left w:val="nil"/>
              <w:bottom w:val="single" w:sz="18" w:space="0" w:color="auto"/>
              <w:right w:val="nil"/>
            </w:tcBorders>
            <w:shd w:val="clear" w:color="auto" w:fill="C0504D"/>
            <w:vAlign w:val="center"/>
          </w:tcPr>
          <w:p w:rsidR="00E60677" w:rsidRPr="00F64639" w:rsidRDefault="00E60677" w:rsidP="002F783E">
            <w:pPr>
              <w:jc w:val="center"/>
              <w:rPr>
                <w:b/>
                <w:bCs/>
                <w:color w:val="FFFFFF"/>
                <w:sz w:val="18"/>
              </w:rPr>
            </w:pPr>
            <w:r w:rsidRPr="00F64639">
              <w:rPr>
                <w:b/>
                <w:bCs/>
                <w:color w:val="FFFFFF"/>
                <w:sz w:val="18"/>
              </w:rPr>
              <w:t>Kontrollvállalatok</w:t>
            </w:r>
          </w:p>
        </w:tc>
      </w:tr>
      <w:tr w:rsidR="000E2F1A" w:rsidRPr="00F64639" w:rsidTr="002F783E">
        <w:tc>
          <w:tcPr>
            <w:tcW w:w="3101" w:type="dxa"/>
            <w:tcBorders>
              <w:left w:val="nil"/>
              <w:bottom w:val="nil"/>
              <w:right w:val="nil"/>
            </w:tcBorders>
            <w:shd w:val="clear" w:color="auto" w:fill="C0504D"/>
            <w:vAlign w:val="center"/>
          </w:tcPr>
          <w:p w:rsidR="00E60677" w:rsidRPr="00F64639" w:rsidRDefault="00E60677" w:rsidP="002F783E">
            <w:pPr>
              <w:jc w:val="center"/>
              <w:rPr>
                <w:b/>
                <w:bCs/>
                <w:color w:val="FFFFFF"/>
                <w:sz w:val="18"/>
              </w:rPr>
            </w:pPr>
            <w:r w:rsidRPr="00F64639">
              <w:rPr>
                <w:b/>
                <w:bCs/>
                <w:color w:val="FFFFFF"/>
                <w:sz w:val="18"/>
              </w:rPr>
              <w:t>Árbevétel növekedés összesen</w:t>
            </w:r>
          </w:p>
        </w:tc>
        <w:tc>
          <w:tcPr>
            <w:tcW w:w="3101" w:type="dxa"/>
            <w:shd w:val="clear" w:color="auto" w:fill="D8D8D8"/>
            <w:vAlign w:val="center"/>
          </w:tcPr>
          <w:p w:rsidR="00E60677" w:rsidRPr="00F64639" w:rsidRDefault="00E60677" w:rsidP="002F783E">
            <w:pPr>
              <w:jc w:val="center"/>
              <w:rPr>
                <w:sz w:val="18"/>
              </w:rPr>
            </w:pPr>
            <w:r w:rsidRPr="00F64639">
              <w:rPr>
                <w:sz w:val="18"/>
              </w:rPr>
              <w:t>10,46 Mrd Ft</w:t>
            </w:r>
          </w:p>
        </w:tc>
        <w:tc>
          <w:tcPr>
            <w:tcW w:w="3101" w:type="dxa"/>
            <w:shd w:val="clear" w:color="auto" w:fill="D8D8D8"/>
            <w:vAlign w:val="center"/>
          </w:tcPr>
          <w:p w:rsidR="00E60677" w:rsidRPr="00F64639" w:rsidRDefault="00E60677" w:rsidP="002F783E">
            <w:pPr>
              <w:jc w:val="center"/>
              <w:rPr>
                <w:sz w:val="18"/>
              </w:rPr>
            </w:pPr>
            <w:r w:rsidRPr="00F64639">
              <w:rPr>
                <w:sz w:val="18"/>
              </w:rPr>
              <w:t>-2,53 Mrd Ft</w:t>
            </w:r>
          </w:p>
        </w:tc>
      </w:tr>
      <w:tr w:rsidR="000E2F1A" w:rsidRPr="00F64639" w:rsidTr="002F783E">
        <w:tc>
          <w:tcPr>
            <w:tcW w:w="3101" w:type="dxa"/>
            <w:tcBorders>
              <w:left w:val="nil"/>
              <w:bottom w:val="single" w:sz="18" w:space="0" w:color="auto"/>
              <w:right w:val="nil"/>
            </w:tcBorders>
            <w:shd w:val="clear" w:color="auto" w:fill="C0504D"/>
            <w:vAlign w:val="center"/>
          </w:tcPr>
          <w:p w:rsidR="00E60677" w:rsidRPr="00F64639" w:rsidRDefault="00E60677" w:rsidP="002F783E">
            <w:pPr>
              <w:jc w:val="center"/>
              <w:rPr>
                <w:b/>
                <w:bCs/>
                <w:color w:val="FFFFFF"/>
                <w:sz w:val="18"/>
              </w:rPr>
            </w:pPr>
            <w:r w:rsidRPr="00F64639">
              <w:rPr>
                <w:b/>
                <w:bCs/>
                <w:color w:val="FFFFFF"/>
                <w:sz w:val="18"/>
              </w:rPr>
              <w:t>Árbevétel növekmény átlagosan</w:t>
            </w:r>
          </w:p>
        </w:tc>
        <w:tc>
          <w:tcPr>
            <w:tcW w:w="3101" w:type="dxa"/>
            <w:vAlign w:val="center"/>
          </w:tcPr>
          <w:p w:rsidR="00E60677" w:rsidRPr="00F64639" w:rsidRDefault="00E60677" w:rsidP="002F783E">
            <w:pPr>
              <w:jc w:val="center"/>
              <w:rPr>
                <w:sz w:val="18"/>
              </w:rPr>
            </w:pPr>
            <w:r w:rsidRPr="00F64639">
              <w:rPr>
                <w:sz w:val="18"/>
              </w:rPr>
              <w:t>64,0%</w:t>
            </w:r>
          </w:p>
        </w:tc>
        <w:tc>
          <w:tcPr>
            <w:tcW w:w="3101" w:type="dxa"/>
            <w:vAlign w:val="center"/>
          </w:tcPr>
          <w:p w:rsidR="00E60677" w:rsidRPr="00F64639" w:rsidRDefault="00E60677" w:rsidP="002F783E">
            <w:pPr>
              <w:keepNext/>
              <w:jc w:val="center"/>
              <w:rPr>
                <w:sz w:val="18"/>
              </w:rPr>
            </w:pPr>
            <w:r w:rsidRPr="00F64639">
              <w:rPr>
                <w:sz w:val="18"/>
              </w:rPr>
              <w:t>-2,5%</w:t>
            </w:r>
          </w:p>
        </w:tc>
      </w:tr>
    </w:tbl>
    <w:bookmarkStart w:id="11" w:name="_Ref277780043"/>
    <w:p w:rsidR="00E60677" w:rsidRPr="00F64639" w:rsidRDefault="00075A29" w:rsidP="00E60677">
      <w:pPr>
        <w:pStyle w:val="Caption"/>
        <w:spacing w:before="240"/>
        <w:jc w:val="center"/>
        <w:rPr>
          <w:color w:val="auto"/>
        </w:rPr>
      </w:pPr>
      <w:r w:rsidRPr="00F64639">
        <w:rPr>
          <w:color w:val="auto"/>
        </w:rPr>
        <w:fldChar w:fldCharType="begin"/>
      </w:r>
      <w:r w:rsidR="00E60677" w:rsidRPr="00F64639">
        <w:rPr>
          <w:color w:val="auto"/>
        </w:rPr>
        <w:instrText xml:space="preserve"> SEQ táblázat \* ARABIC </w:instrText>
      </w:r>
      <w:r w:rsidRPr="00F64639">
        <w:rPr>
          <w:color w:val="auto"/>
        </w:rPr>
        <w:fldChar w:fldCharType="separate"/>
      </w:r>
      <w:bookmarkStart w:id="12" w:name="_Ref277948113"/>
      <w:r w:rsidR="00E30745" w:rsidRPr="00F64639">
        <w:rPr>
          <w:noProof/>
          <w:color w:val="auto"/>
        </w:rPr>
        <w:t>26</w:t>
      </w:r>
      <w:bookmarkEnd w:id="12"/>
      <w:r w:rsidRPr="00F64639">
        <w:rPr>
          <w:color w:val="auto"/>
        </w:rPr>
        <w:fldChar w:fldCharType="end"/>
      </w:r>
      <w:r w:rsidR="00E60677" w:rsidRPr="00F64639">
        <w:rPr>
          <w:color w:val="auto"/>
        </w:rPr>
        <w:t>. táblázat</w:t>
      </w:r>
      <w:bookmarkEnd w:id="11"/>
      <w:r w:rsidR="00E60677" w:rsidRPr="00F64639">
        <w:rPr>
          <w:color w:val="auto"/>
        </w:rPr>
        <w:t>: ÁTK Lezárt projektek és kontrollcsoport összehasonlítása</w:t>
      </w:r>
    </w:p>
    <w:p w:rsidR="00E60677" w:rsidRPr="00F64639" w:rsidRDefault="00E60677" w:rsidP="00E60677">
      <w:pPr>
        <w:jc w:val="both"/>
      </w:pPr>
      <w:r w:rsidRPr="00F64639">
        <w:t>A kapott eredmények felkeltették érdeklődésünket: vajon tényleg ennyire sikeres a jogcím, vagy a vizsgált minta összetétele nem tekinthető reprezentánsnak a teljes jogcímre nézve?</w:t>
      </w:r>
    </w:p>
    <w:p w:rsidR="00E60677" w:rsidRPr="00F64639" w:rsidRDefault="00E60677" w:rsidP="00E60677">
      <w:pPr>
        <w:jc w:val="both"/>
      </w:pPr>
      <w:r w:rsidRPr="00F64639">
        <w:t xml:space="preserve">A vizsgált csoportból kiválasztottuk a 10 legnagyobb árbevétel-növekedési dinamikát felmutató entitást, és telefonos lekérdezés során kiegészítő információkat gyűjtöttünk a beruházás körülményeiről, hatásairól. A lekérdezés során a megkeresett vállalatvezetők egybehangzóan azt nyilatkozták, hogy a támogatások nem bírtak meghatározó szereppel a tapasztalt növekedésben, de a jelenlétüknek volt részleges pozitív hatása. Ez a tapasztalat egybecseng a FADN adatbázisán végzett </w:t>
      </w:r>
      <w:proofErr w:type="spellStart"/>
      <w:r w:rsidRPr="00F64639">
        <w:t>ökonometriai</w:t>
      </w:r>
      <w:proofErr w:type="spellEnd"/>
      <w:r w:rsidRPr="00F64639">
        <w:t xml:space="preserve"> vizsgálatok eredményével is. A viz</w:t>
      </w:r>
      <w:r w:rsidRPr="00F64639">
        <w:t>s</w:t>
      </w:r>
      <w:r w:rsidRPr="00F64639">
        <w:t xml:space="preserve">gált 10 cég a teljes mintán mért </w:t>
      </w:r>
      <w:proofErr w:type="spellStart"/>
      <w:r w:rsidRPr="00F64639">
        <w:t>árbevételnövekmény</w:t>
      </w:r>
      <w:proofErr w:type="spellEnd"/>
      <w:r w:rsidRPr="00F64639">
        <w:t xml:space="preserve"> </w:t>
      </w:r>
      <w:r w:rsidR="00E66A4E" w:rsidRPr="00F64639">
        <w:t>99,7</w:t>
      </w:r>
      <w:r w:rsidRPr="00F64639">
        <w:t xml:space="preserve">%-ért volt felelős, a többi </w:t>
      </w:r>
      <w:proofErr w:type="gramStart"/>
      <w:r w:rsidRPr="00F64639">
        <w:t>cég stagnáló</w:t>
      </w:r>
      <w:proofErr w:type="gramEnd"/>
      <w:r w:rsidRPr="00F64639">
        <w:t>, vagy csö</w:t>
      </w:r>
      <w:r w:rsidRPr="00F64639">
        <w:t>k</w:t>
      </w:r>
      <w:r w:rsidRPr="00F64639">
        <w:t>kenő árbevételi számokat produkált.</w:t>
      </w:r>
      <w:r w:rsidR="00E66A4E" w:rsidRPr="00F64639">
        <w:t xml:space="preserve"> A vizsgálat tapasztalatait </w:t>
      </w:r>
      <w:proofErr w:type="gramStart"/>
      <w:r w:rsidR="00E66A4E" w:rsidRPr="00F64639">
        <w:t>a</w:t>
      </w:r>
      <w:proofErr w:type="gramEnd"/>
      <w:r w:rsidR="00E66A4E" w:rsidRPr="00F64639">
        <w:t xml:space="preserve"> </w:t>
      </w:r>
      <w:r w:rsidR="00E12FEB">
        <w:t>5.1.1.</w:t>
      </w:r>
      <w:r w:rsidR="000D5527" w:rsidRPr="00F64639">
        <w:t>.</w:t>
      </w:r>
      <w:r w:rsidR="00E66A4E" w:rsidRPr="00F64639">
        <w:t xml:space="preserve"> mellékletben található táblázat fo</w:t>
      </w:r>
      <w:r w:rsidR="00E66A4E" w:rsidRPr="00F64639">
        <w:t>g</w:t>
      </w:r>
      <w:r w:rsidR="00E66A4E" w:rsidRPr="00F64639">
        <w:t>lalja össze.</w:t>
      </w:r>
    </w:p>
    <w:p w:rsidR="00E60677" w:rsidRPr="00F64639" w:rsidRDefault="00E60677" w:rsidP="00E60677">
      <w:pPr>
        <w:jc w:val="both"/>
        <w:rPr>
          <w:b/>
        </w:rPr>
      </w:pPr>
      <w:r w:rsidRPr="00F64639">
        <w:t xml:space="preserve">A jogcím esetében a jövedelmezőségi vizsgálatok eredményei közül a leginkább szignifikáns </w:t>
      </w:r>
      <w:proofErr w:type="spellStart"/>
      <w:r w:rsidRPr="00F64639">
        <w:t>ökonometriai</w:t>
      </w:r>
      <w:proofErr w:type="spellEnd"/>
      <w:r w:rsidRPr="00F64639">
        <w:t xml:space="preserve"> panelvizsgálat eredményét tudjuk elfogadni, amely szerint </w:t>
      </w:r>
      <w:r w:rsidRPr="00F64639">
        <w:rPr>
          <w:b/>
        </w:rPr>
        <w:t>a támogatásnak pozitív hatása van a nettó ho</w:t>
      </w:r>
      <w:r w:rsidRPr="00F64639">
        <w:rPr>
          <w:b/>
        </w:rPr>
        <w:t>z</w:t>
      </w:r>
      <w:r w:rsidRPr="00F64639">
        <w:rPr>
          <w:b/>
        </w:rPr>
        <w:t>záadott érték növekedésére, de a növekedést a többi tényező (SAPS, cégméret, cégforma) jobban magy</w:t>
      </w:r>
      <w:r w:rsidRPr="00F64639">
        <w:rPr>
          <w:b/>
        </w:rPr>
        <w:t>a</w:t>
      </w:r>
      <w:r w:rsidRPr="00F64639">
        <w:rPr>
          <w:b/>
        </w:rPr>
        <w:t>rázza a támogatás tényénél. Ezeket a vizsgálatokat a következő években is el kell végezni, hogy a kérdés véglegesen eldönthető legyen.</w:t>
      </w:r>
    </w:p>
    <w:p w:rsidR="002943C7" w:rsidRPr="00F64639" w:rsidRDefault="002943C7" w:rsidP="002943C7">
      <w:pPr>
        <w:pStyle w:val="HUNNormal"/>
      </w:pPr>
      <w:r w:rsidRPr="00F64639">
        <w:t>A foglalkoztatási hatást szintén megpróbáltuk a jogcímre leszűkítve is vizsgálni. Megnéztük, hogyan változott a beruházást megelőző és a beruházást követő gazdasági év átlagos állományi létszáma, a lezárt beruház</w:t>
      </w:r>
      <w:r w:rsidRPr="00F64639">
        <w:t>á</w:t>
      </w:r>
      <w:r w:rsidRPr="00F64639">
        <w:t>sok esetében (vagyis azon projektek esetében, melyeknél jövedelmezőségi hatást vizsgáltunk).</w:t>
      </w:r>
    </w:p>
    <w:p w:rsidR="002943C7" w:rsidRPr="00F64639" w:rsidRDefault="002943C7" w:rsidP="002943C7">
      <w:pPr>
        <w:pStyle w:val="HUNNormal"/>
      </w:pPr>
      <w:r w:rsidRPr="00F64639">
        <w:lastRenderedPageBreak/>
        <w:t>Összesen 196 db lezárt ÁTK projektet tudtunk bevonni az elemzésbe, a vizsgálat eredményét a következő táblázat szemlélteti.</w:t>
      </w:r>
    </w:p>
    <w:p w:rsidR="002943C7" w:rsidRPr="00F64639" w:rsidRDefault="00374E45" w:rsidP="002943C7">
      <w:pPr>
        <w:pStyle w:val="HUNNormal"/>
        <w:jc w:val="center"/>
      </w:pPr>
      <w:r w:rsidRPr="00F64639">
        <w:rPr>
          <w:noProof/>
        </w:rPr>
        <w:drawing>
          <wp:inline distT="0" distB="0" distL="0" distR="0">
            <wp:extent cx="4011295" cy="957580"/>
            <wp:effectExtent l="19050" t="0" r="825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2455" t="23822" r="59343" b="54271"/>
                    <a:stretch>
                      <a:fillRect/>
                    </a:stretch>
                  </pic:blipFill>
                  <pic:spPr bwMode="auto">
                    <a:xfrm>
                      <a:off x="0" y="0"/>
                      <a:ext cx="4011295" cy="957580"/>
                    </a:xfrm>
                    <a:prstGeom prst="rect">
                      <a:avLst/>
                    </a:prstGeom>
                    <a:noFill/>
                    <a:ln w="9525">
                      <a:noFill/>
                      <a:miter lim="800000"/>
                      <a:headEnd/>
                      <a:tailEnd/>
                    </a:ln>
                  </pic:spPr>
                </pic:pic>
              </a:graphicData>
            </a:graphic>
          </wp:inline>
        </w:drawing>
      </w:r>
    </w:p>
    <w:p w:rsidR="002943C7" w:rsidRPr="00F64639" w:rsidRDefault="00075A29" w:rsidP="002943C7">
      <w:pPr>
        <w:pStyle w:val="Caption"/>
        <w:jc w:val="center"/>
        <w:rPr>
          <w:color w:val="auto"/>
        </w:rPr>
      </w:pPr>
      <w:r w:rsidRPr="00F64639">
        <w:rPr>
          <w:color w:val="auto"/>
        </w:rPr>
        <w:fldChar w:fldCharType="begin"/>
      </w:r>
      <w:r w:rsidR="002943C7" w:rsidRPr="00F64639">
        <w:rPr>
          <w:color w:val="auto"/>
        </w:rPr>
        <w:instrText xml:space="preserve"> SEQ táblázat \* ARABIC </w:instrText>
      </w:r>
      <w:r w:rsidRPr="00F64639">
        <w:rPr>
          <w:color w:val="auto"/>
        </w:rPr>
        <w:fldChar w:fldCharType="separate"/>
      </w:r>
      <w:r w:rsidR="00E30745" w:rsidRPr="00F64639">
        <w:rPr>
          <w:noProof/>
          <w:color w:val="auto"/>
        </w:rPr>
        <w:t>27</w:t>
      </w:r>
      <w:r w:rsidRPr="00F64639">
        <w:rPr>
          <w:color w:val="auto"/>
        </w:rPr>
        <w:fldChar w:fldCharType="end"/>
      </w:r>
      <w:r w:rsidR="002943C7" w:rsidRPr="00F64639">
        <w:rPr>
          <w:color w:val="auto"/>
        </w:rPr>
        <w:t>. táblázat: Foglalkoztatás vizsgálata - lezárt ÁTK projektek</w:t>
      </w:r>
    </w:p>
    <w:p w:rsidR="002943C7" w:rsidRPr="00F64639" w:rsidRDefault="002943C7" w:rsidP="002943C7">
      <w:pPr>
        <w:pStyle w:val="HUNNormal"/>
      </w:pPr>
      <w:r w:rsidRPr="00F64639">
        <w:rPr>
          <w:b/>
        </w:rPr>
        <w:t>Megállapítható, hogy ÁTK jogcím esetén a vizsgált csoport 176 fő létszámleépítést tervezett a támogatási kérelmek adatai alapján – ezzel szemben 113 fővel nőtt az átlagos állományi létszám</w:t>
      </w:r>
      <w:r w:rsidRPr="00F64639">
        <w:t>. A kontrollcsoportnál azonban mind a tervezett, mind a tényleges létszám csökkent: az előbbi 19 fővel, az utóbbi 227 fővel. Me</w:t>
      </w:r>
      <w:r w:rsidRPr="00F64639">
        <w:t>g</w:t>
      </w:r>
      <w:r w:rsidRPr="00F64639">
        <w:t xml:space="preserve">említendő, hogy </w:t>
      </w:r>
      <w:r w:rsidRPr="00F64639">
        <w:rPr>
          <w:b/>
        </w:rPr>
        <w:t>a tervezett és a tényleges létszámok közötti korrelációs együttható meglehetősen gyenge</w:t>
      </w:r>
      <w:r w:rsidRPr="00F64639">
        <w:t xml:space="preserve">: a vizsgált csoportnál 14,6%, a kontrollcsoportnál 35,5%. Mindezek alapján megítélésünk szerint </w:t>
      </w:r>
      <w:r w:rsidRPr="00F64639">
        <w:rPr>
          <w:b/>
        </w:rPr>
        <w:t>elhamark</w:t>
      </w:r>
      <w:r w:rsidRPr="00F64639">
        <w:rPr>
          <w:b/>
        </w:rPr>
        <w:t>o</w:t>
      </w:r>
      <w:r w:rsidRPr="00F64639">
        <w:rPr>
          <w:b/>
        </w:rPr>
        <w:t xml:space="preserve">dott döntés lenne véleményt mondani a támogatás foglalkoztatási hatásáról ez </w:t>
      </w:r>
      <w:proofErr w:type="gramStart"/>
      <w:r w:rsidRPr="00F64639">
        <w:rPr>
          <w:b/>
        </w:rPr>
        <w:t>alapján</w:t>
      </w:r>
      <w:proofErr w:type="gramEnd"/>
      <w:r w:rsidRPr="00F64639">
        <w:rPr>
          <w:b/>
        </w:rPr>
        <w:t xml:space="preserve"> a vizsgálat alapján</w:t>
      </w:r>
      <w:r w:rsidRPr="00F64639">
        <w:t>.</w:t>
      </w:r>
      <w:r w:rsidR="001E2EE0" w:rsidRPr="00F64639">
        <w:t xml:space="preserve"> Ezt erősíti meg a jövedelmezőségi hatás kontroljaként lebonyolított kvalitatív vizsgálat, amely nem talált ö</w:t>
      </w:r>
      <w:r w:rsidR="001E2EE0" w:rsidRPr="00F64639">
        <w:t>s</w:t>
      </w:r>
      <w:r w:rsidR="001E2EE0" w:rsidRPr="00F64639">
        <w:t>szefüggést a támogatás és a vizsgált vállalkozások fejlődése között.</w:t>
      </w:r>
    </w:p>
    <w:p w:rsidR="00E920EE" w:rsidRPr="00F64639" w:rsidRDefault="00E920EE" w:rsidP="00E920EE">
      <w:pPr>
        <w:jc w:val="both"/>
      </w:pPr>
      <w:r w:rsidRPr="00F64639">
        <w:t>A munkatermelékenység változásának vizsgálatához összehasonlítottuk a fejlesztést megelőző év tényleges 1 alkalmazotti létszámra vetített nettó árbevételét, és a fejlesztést követő év tényleges mutatóját.</w:t>
      </w:r>
    </w:p>
    <w:p w:rsidR="00E920EE" w:rsidRPr="00F64639" w:rsidRDefault="00E920EE" w:rsidP="00E920EE">
      <w:pPr>
        <w:jc w:val="both"/>
      </w:pPr>
      <w:r w:rsidRPr="00F64639">
        <w:t>A vizsgálat során megállapítottuk, hogy a jogcím esetében mind a vizsgált csoportnál, mind a kontrollcs</w:t>
      </w:r>
      <w:r w:rsidRPr="00F64639">
        <w:t>o</w:t>
      </w:r>
      <w:r w:rsidRPr="00F64639">
        <w:t xml:space="preserve">portnál csökkent a fent leírt mutató: az előbbinél 2 719 180 </w:t>
      </w:r>
      <w:proofErr w:type="spellStart"/>
      <w:r w:rsidRPr="00F64639">
        <w:t>Ft-al</w:t>
      </w:r>
      <w:proofErr w:type="spellEnd"/>
      <w:r w:rsidRPr="00F64639">
        <w:t xml:space="preserve">, az utóbbinál 1 654 050 </w:t>
      </w:r>
      <w:proofErr w:type="spellStart"/>
      <w:r w:rsidRPr="00F64639">
        <w:t>Ft-al</w:t>
      </w:r>
      <w:proofErr w:type="spellEnd"/>
      <w:r w:rsidRPr="00F64639">
        <w:t>. Ennek ala</w:t>
      </w:r>
      <w:r w:rsidRPr="00F64639">
        <w:t>p</w:t>
      </w:r>
      <w:r w:rsidRPr="00F64639">
        <w:t xml:space="preserve">vetően az </w:t>
      </w:r>
      <w:proofErr w:type="spellStart"/>
      <w:r w:rsidRPr="00F64639">
        <w:t>az</w:t>
      </w:r>
      <w:proofErr w:type="spellEnd"/>
      <w:r w:rsidRPr="00F64639">
        <w:t xml:space="preserve"> oka, hogy a vizsgált csoport kiemelkedő árbevétel növekményét létszámbővítés mellett érte el, míg a kontrollcsoport a szerényebb mértékű bevétel növekedés mellett drasztikusabb létszám leépítést m</w:t>
      </w:r>
      <w:r w:rsidRPr="00F64639">
        <w:t>u</w:t>
      </w:r>
      <w:r w:rsidRPr="00F64639">
        <w:t>tathat fel. Tekintettel arra, hogy az árbevétel növekményt nem tudtuk egyértelműen a támogatás tényéhez kötni, ezért a termelékenység változását sem tudjuk még végleges eredményként bemutatni. A vizsgálat ismételt elvégzése szükséges a következő években a végleges konklúzió kialakításához.</w:t>
      </w:r>
    </w:p>
    <w:p w:rsidR="00E60677" w:rsidRPr="00F64639" w:rsidRDefault="002943C7" w:rsidP="00E60677">
      <w:pPr>
        <w:jc w:val="both"/>
      </w:pPr>
      <w:r w:rsidRPr="00F64639">
        <w:t>A projektektől környezeti hatás terén a vízminőség javulását és az üvegházhatású metán gáz kibocsátás</w:t>
      </w:r>
      <w:r w:rsidRPr="00F64639">
        <w:t>á</w:t>
      </w:r>
      <w:r w:rsidRPr="00F64639">
        <w:t xml:space="preserve">nak csökkentését vártuk. </w:t>
      </w:r>
      <w:r w:rsidR="00E038E7">
        <w:t xml:space="preserve">Adatot erre hosszabb időtávot </w:t>
      </w:r>
      <w:proofErr w:type="gramStart"/>
      <w:r w:rsidR="00E038E7">
        <w:t>átfogó</w:t>
      </w:r>
      <w:proofErr w:type="gramEnd"/>
      <w:r w:rsidR="00E038E7">
        <w:t xml:space="preserve"> </w:t>
      </w:r>
      <w:proofErr w:type="spellStart"/>
      <w:r w:rsidR="00E038E7">
        <w:t>hatásmonitoring</w:t>
      </w:r>
      <w:proofErr w:type="spellEnd"/>
      <w:r w:rsidR="00E038E7">
        <w:t xml:space="preserve"> tud majd biztosítani, így a hatás számszerűsítésére még nem volt lehetőség</w:t>
      </w:r>
      <w:r w:rsidRPr="00F64639">
        <w:t>.</w:t>
      </w:r>
    </w:p>
    <w:p w:rsidR="00E740B1" w:rsidRPr="00F64639" w:rsidRDefault="00E740B1" w:rsidP="00E60677">
      <w:pPr>
        <w:jc w:val="both"/>
      </w:pPr>
    </w:p>
    <w:p w:rsidR="002943C7" w:rsidRPr="00F64639" w:rsidRDefault="002943C7" w:rsidP="00E60677">
      <w:pPr>
        <w:jc w:val="both"/>
        <w:rPr>
          <w:b/>
        </w:rPr>
      </w:pPr>
      <w:r w:rsidRPr="00F64639">
        <w:rPr>
          <w:b/>
        </w:rPr>
        <w:t>Potenciálvizsgálat</w:t>
      </w:r>
    </w:p>
    <w:p w:rsidR="00E128C2" w:rsidRPr="00F64639" w:rsidRDefault="00E128C2" w:rsidP="00E128C2">
      <w:pPr>
        <w:jc w:val="both"/>
      </w:pPr>
      <w:r w:rsidRPr="00F64639">
        <w:t xml:space="preserve">Jövedelmezőségre </w:t>
      </w:r>
      <w:r w:rsidRPr="00F64639">
        <w:rPr>
          <w:b/>
          <w:i/>
        </w:rPr>
        <w:t>potenciálvizsgálatot</w:t>
      </w:r>
      <w:r w:rsidRPr="00F64639">
        <w:t xml:space="preserve"> </w:t>
      </w:r>
      <w:r w:rsidRPr="00F64639">
        <w:rPr>
          <w:b/>
        </w:rPr>
        <w:t>nem végeztünk</w:t>
      </w:r>
      <w:r w:rsidRPr="00F64639">
        <w:t>, mert a támogatási kérelem lapokon sok esetben irreálisan magas, valamint inkonzisztens induló és tervezett árbevételi adatokat találtunk, ami jelentősen torzította volna az eredményeket.</w:t>
      </w:r>
    </w:p>
    <w:p w:rsidR="00E920EE" w:rsidRPr="00F64639" w:rsidRDefault="00E920EE" w:rsidP="00E920EE">
      <w:pPr>
        <w:pStyle w:val="HUNNormal"/>
      </w:pPr>
      <w:r w:rsidRPr="00F64639">
        <w:rPr>
          <w:b/>
          <w:i/>
        </w:rPr>
        <w:t>A foglalkoztatási potenciálvizsgálat</w:t>
      </w:r>
      <w:r w:rsidRPr="00F64639">
        <w:rPr>
          <w:b/>
        </w:rPr>
        <w:t xml:space="preserve"> </w:t>
      </w:r>
      <w:r w:rsidRPr="00F64639">
        <w:t>során a támogatási kérelem adatai alapján összehasonlítottuk az induló időszak (tényleges) állományi létszámát és a beruházás lezárása utáni időszakr</w:t>
      </w:r>
      <w:r w:rsidR="00E740B1" w:rsidRPr="00F64639">
        <w:t>a vállalt (tervezett) létszámot.</w:t>
      </w:r>
    </w:p>
    <w:p w:rsidR="00E920EE" w:rsidRPr="00F64639" w:rsidRDefault="00A93641" w:rsidP="00E920EE">
      <w:pPr>
        <w:pStyle w:val="HUNNormal"/>
      </w:pPr>
      <w:r w:rsidRPr="00F64639">
        <w:t>Továbbá</w:t>
      </w:r>
      <w:r w:rsidR="00E920EE" w:rsidRPr="00F64639">
        <w:t xml:space="preserve"> a támogatási kérelemben szereplő SFH adatok alapján megvizsgáltuk, hogy az egyes gazdasági méretkategóriák szerint a kérelmezők tervei szerint hogyan változik az átlagos állományi létszám. Az SFH szerinti méretkategóriákat </w:t>
      </w:r>
      <w:proofErr w:type="spellStart"/>
      <w:r w:rsidR="00E920EE" w:rsidRPr="00F64639">
        <w:t>kvartilisek</w:t>
      </w:r>
      <w:proofErr w:type="spellEnd"/>
      <w:r w:rsidR="00E920EE" w:rsidRPr="00F64639">
        <w:t xml:space="preserve"> kialakításával végeztük el: összerendeztük a támogatott gazdaságokat a 2007-es évi SFH összegek alapján. A négy </w:t>
      </w:r>
      <w:proofErr w:type="spellStart"/>
      <w:r w:rsidR="00E920EE" w:rsidRPr="00F64639">
        <w:t>kvartilis</w:t>
      </w:r>
      <w:proofErr w:type="spellEnd"/>
      <w:r w:rsidR="00E920EE" w:rsidRPr="00F64639">
        <w:t xml:space="preserve"> négy egyenlő számú gazdaságból áll: az alsó </w:t>
      </w:r>
      <w:proofErr w:type="spellStart"/>
      <w:r w:rsidR="00E920EE" w:rsidRPr="00F64639">
        <w:t>kvartilist</w:t>
      </w:r>
      <w:proofErr w:type="spellEnd"/>
      <w:r w:rsidR="00E920EE" w:rsidRPr="00F64639">
        <w:t xml:space="preserve"> elneveztük „mikro gazdaságnak”, a középső két </w:t>
      </w:r>
      <w:proofErr w:type="spellStart"/>
      <w:r w:rsidR="00E920EE" w:rsidRPr="00F64639">
        <w:t>kvartilist</w:t>
      </w:r>
      <w:proofErr w:type="spellEnd"/>
      <w:r w:rsidR="00E920EE" w:rsidRPr="00F64639">
        <w:t xml:space="preserve"> „kis gazdaságnak” és „közép gazdaságnak”, míg a fels</w:t>
      </w:r>
      <w:r w:rsidR="00E740B1" w:rsidRPr="00F64639">
        <w:t xml:space="preserve">ő </w:t>
      </w:r>
      <w:proofErr w:type="spellStart"/>
      <w:r w:rsidR="00E740B1" w:rsidRPr="00F64639">
        <w:t>kvartilist</w:t>
      </w:r>
      <w:proofErr w:type="spellEnd"/>
      <w:r w:rsidR="00E740B1" w:rsidRPr="00F64639">
        <w:t xml:space="preserve"> „nagygazdaságnak”.</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384"/>
        <w:gridCol w:w="2138"/>
        <w:gridCol w:w="1695"/>
        <w:gridCol w:w="1581"/>
        <w:gridCol w:w="1581"/>
      </w:tblGrid>
      <w:tr w:rsidR="000E2F1A" w:rsidRPr="00F64639" w:rsidTr="002F783E">
        <w:trPr>
          <w:trHeight w:val="255"/>
          <w:tblHeader/>
        </w:trPr>
        <w:tc>
          <w:tcPr>
            <w:tcW w:w="2384"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rPr>
            </w:pPr>
            <w:r w:rsidRPr="00F64639">
              <w:rPr>
                <w:b/>
                <w:bCs/>
                <w:color w:val="FFFFFF"/>
                <w:sz w:val="18"/>
              </w:rPr>
              <w:lastRenderedPageBreak/>
              <w:t>Méretkategóriák SFH 2007 alapján (ÁTK I-II.)</w:t>
            </w:r>
          </w:p>
        </w:tc>
        <w:tc>
          <w:tcPr>
            <w:tcW w:w="2138"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rPr>
            </w:pPr>
            <w:r w:rsidRPr="00F64639">
              <w:rPr>
                <w:b/>
                <w:bCs/>
                <w:color w:val="FFFFFF"/>
                <w:sz w:val="18"/>
              </w:rPr>
              <w:t>Átlagos támogatási ö</w:t>
            </w:r>
            <w:r w:rsidRPr="00F64639">
              <w:rPr>
                <w:b/>
                <w:bCs/>
                <w:color w:val="FFFFFF"/>
                <w:sz w:val="18"/>
              </w:rPr>
              <w:t>s</w:t>
            </w:r>
            <w:r w:rsidRPr="00F64639">
              <w:rPr>
                <w:b/>
                <w:bCs/>
                <w:color w:val="FFFFFF"/>
                <w:sz w:val="18"/>
              </w:rPr>
              <w:t>szegek</w:t>
            </w:r>
          </w:p>
        </w:tc>
        <w:tc>
          <w:tcPr>
            <w:tcW w:w="1695"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rPr>
            </w:pPr>
            <w:r w:rsidRPr="00F64639">
              <w:rPr>
                <w:b/>
                <w:bCs/>
                <w:color w:val="FFFFFF"/>
                <w:sz w:val="18"/>
              </w:rPr>
              <w:t>Tervezett létszá</w:t>
            </w:r>
            <w:r w:rsidRPr="00F64639">
              <w:rPr>
                <w:b/>
                <w:bCs/>
                <w:color w:val="FFFFFF"/>
                <w:sz w:val="18"/>
              </w:rPr>
              <w:t>m</w:t>
            </w:r>
            <w:r w:rsidRPr="00F64639">
              <w:rPr>
                <w:b/>
                <w:bCs/>
                <w:color w:val="FFFFFF"/>
                <w:sz w:val="18"/>
              </w:rPr>
              <w:t>bővítés</w:t>
            </w:r>
          </w:p>
        </w:tc>
        <w:tc>
          <w:tcPr>
            <w:tcW w:w="1581"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 xml:space="preserve">Átlaglétszám (fejlesztés előtti tény) </w:t>
            </w:r>
          </w:p>
        </w:tc>
        <w:tc>
          <w:tcPr>
            <w:tcW w:w="1581" w:type="dxa"/>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Átlaglétszám (fejlesztés utánra vállalt)</w:t>
            </w:r>
          </w:p>
        </w:tc>
      </w:tr>
      <w:tr w:rsidR="000E2F1A" w:rsidRPr="00F64639" w:rsidTr="002F783E">
        <w:trPr>
          <w:trHeight w:val="255"/>
        </w:trPr>
        <w:tc>
          <w:tcPr>
            <w:tcW w:w="2384" w:type="dxa"/>
            <w:tcBorders>
              <w:top w:val="single" w:sz="8" w:space="0" w:color="FFFFFF"/>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Nagy gazdálkodó</w:t>
            </w:r>
          </w:p>
        </w:tc>
        <w:tc>
          <w:tcPr>
            <w:tcW w:w="2138"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236 952 298,88 Ft</w:t>
            </w:r>
          </w:p>
        </w:tc>
        <w:tc>
          <w:tcPr>
            <w:tcW w:w="1695"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b/>
                <w:i/>
                <w:color w:val="000000"/>
                <w:sz w:val="18"/>
                <w:szCs w:val="18"/>
              </w:rPr>
            </w:pPr>
            <w:r w:rsidRPr="00F64639">
              <w:rPr>
                <w:b/>
                <w:i/>
                <w:color w:val="000000"/>
                <w:sz w:val="18"/>
                <w:szCs w:val="18"/>
              </w:rPr>
              <w:t>- 2 917,50</w:t>
            </w:r>
          </w:p>
        </w:tc>
        <w:tc>
          <w:tcPr>
            <w:tcW w:w="158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47 320,00</w:t>
            </w:r>
          </w:p>
        </w:tc>
        <w:tc>
          <w:tcPr>
            <w:tcW w:w="158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44 402,50</w:t>
            </w:r>
          </w:p>
        </w:tc>
      </w:tr>
      <w:tr w:rsidR="000E2F1A" w:rsidRPr="00F64639" w:rsidTr="002F783E">
        <w:trPr>
          <w:trHeight w:val="255"/>
        </w:trPr>
        <w:tc>
          <w:tcPr>
            <w:tcW w:w="2384" w:type="dxa"/>
            <w:tcBorders>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Középgazdálkodó</w:t>
            </w:r>
          </w:p>
        </w:tc>
        <w:tc>
          <w:tcPr>
            <w:tcW w:w="2138"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106 638 702,54 Ft</w:t>
            </w:r>
          </w:p>
        </w:tc>
        <w:tc>
          <w:tcPr>
            <w:tcW w:w="1695"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89,90</w:t>
            </w:r>
          </w:p>
        </w:tc>
        <w:tc>
          <w:tcPr>
            <w:tcW w:w="1581"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12 435,40</w:t>
            </w:r>
          </w:p>
        </w:tc>
        <w:tc>
          <w:tcPr>
            <w:tcW w:w="1581"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12 525,30</w:t>
            </w:r>
          </w:p>
        </w:tc>
      </w:tr>
      <w:tr w:rsidR="000E2F1A" w:rsidRPr="00F64639" w:rsidTr="002F783E">
        <w:trPr>
          <w:trHeight w:val="255"/>
        </w:trPr>
        <w:tc>
          <w:tcPr>
            <w:tcW w:w="2384" w:type="dxa"/>
            <w:tcBorders>
              <w:top w:val="single" w:sz="8" w:space="0" w:color="FFFFFF"/>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Kis gazdálkodó</w:t>
            </w:r>
          </w:p>
        </w:tc>
        <w:tc>
          <w:tcPr>
            <w:tcW w:w="2138"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77 833 970,96 Ft</w:t>
            </w:r>
          </w:p>
        </w:tc>
        <w:tc>
          <w:tcPr>
            <w:tcW w:w="1695"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524,80</w:t>
            </w:r>
          </w:p>
        </w:tc>
        <w:tc>
          <w:tcPr>
            <w:tcW w:w="158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2 403,20</w:t>
            </w:r>
          </w:p>
        </w:tc>
        <w:tc>
          <w:tcPr>
            <w:tcW w:w="158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2 928,00</w:t>
            </w:r>
          </w:p>
        </w:tc>
      </w:tr>
      <w:tr w:rsidR="000E2F1A" w:rsidRPr="00F64639" w:rsidTr="002F783E">
        <w:trPr>
          <w:trHeight w:val="255"/>
        </w:trPr>
        <w:tc>
          <w:tcPr>
            <w:tcW w:w="2384" w:type="dxa"/>
            <w:tcBorders>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Mikro gazdálkodó</w:t>
            </w:r>
          </w:p>
        </w:tc>
        <w:tc>
          <w:tcPr>
            <w:tcW w:w="2138"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39 673 335,95 Ft</w:t>
            </w:r>
          </w:p>
        </w:tc>
        <w:tc>
          <w:tcPr>
            <w:tcW w:w="1695"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409,90</w:t>
            </w:r>
          </w:p>
        </w:tc>
        <w:tc>
          <w:tcPr>
            <w:tcW w:w="1581"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1 136,10</w:t>
            </w:r>
          </w:p>
        </w:tc>
        <w:tc>
          <w:tcPr>
            <w:tcW w:w="1581" w:type="dxa"/>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1 546,00</w:t>
            </w:r>
          </w:p>
        </w:tc>
      </w:tr>
      <w:tr w:rsidR="000E2F1A" w:rsidRPr="00F64639" w:rsidTr="002F783E">
        <w:trPr>
          <w:trHeight w:val="270"/>
        </w:trPr>
        <w:tc>
          <w:tcPr>
            <w:tcW w:w="2384" w:type="dxa"/>
            <w:tcBorders>
              <w:top w:val="single" w:sz="8" w:space="0" w:color="FFFFFF"/>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rPr>
            </w:pPr>
            <w:r w:rsidRPr="00F64639">
              <w:rPr>
                <w:b/>
                <w:bCs/>
                <w:color w:val="FFFFFF"/>
                <w:sz w:val="18"/>
              </w:rPr>
              <w:t>Nincs beosztályozva</w:t>
            </w:r>
            <w:r w:rsidRPr="00F64639">
              <w:rPr>
                <w:rStyle w:val="FootnoteReference"/>
                <w:b/>
                <w:bCs/>
                <w:color w:val="FFFFFF"/>
                <w:sz w:val="18"/>
              </w:rPr>
              <w:footnoteReference w:id="70"/>
            </w:r>
          </w:p>
        </w:tc>
        <w:tc>
          <w:tcPr>
            <w:tcW w:w="2138"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20 772 263,25 Ft</w:t>
            </w:r>
          </w:p>
        </w:tc>
        <w:tc>
          <w:tcPr>
            <w:tcW w:w="1695"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258,50</w:t>
            </w:r>
          </w:p>
        </w:tc>
        <w:tc>
          <w:tcPr>
            <w:tcW w:w="158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12 874,00</w:t>
            </w:r>
          </w:p>
        </w:tc>
        <w:tc>
          <w:tcPr>
            <w:tcW w:w="1581" w:type="dxa"/>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13 132,50</w:t>
            </w:r>
          </w:p>
        </w:tc>
      </w:tr>
      <w:tr w:rsidR="000E2F1A" w:rsidRPr="00F64639" w:rsidTr="002F783E">
        <w:trPr>
          <w:trHeight w:val="285"/>
        </w:trPr>
        <w:tc>
          <w:tcPr>
            <w:tcW w:w="2384" w:type="dxa"/>
            <w:tcBorders>
              <w:left w:val="single" w:sz="8" w:space="0" w:color="FFFFFF"/>
              <w:right w:val="single" w:sz="24" w:space="0" w:color="FFFFFF"/>
            </w:tcBorders>
            <w:shd w:val="clear" w:color="auto" w:fill="C0504D"/>
            <w:noWrap/>
            <w:vAlign w:val="center"/>
            <w:hideMark/>
          </w:tcPr>
          <w:p w:rsidR="00A93641" w:rsidRPr="00F64639" w:rsidRDefault="00A93641" w:rsidP="002F783E">
            <w:pPr>
              <w:jc w:val="center"/>
              <w:rPr>
                <w:b/>
                <w:bCs/>
                <w:color w:val="FFFFFF"/>
                <w:sz w:val="18"/>
              </w:rPr>
            </w:pPr>
            <w:r w:rsidRPr="00F64639">
              <w:rPr>
                <w:b/>
                <w:bCs/>
                <w:color w:val="FFFFFF"/>
                <w:sz w:val="18"/>
              </w:rPr>
              <w:t>Összesen</w:t>
            </w:r>
          </w:p>
        </w:tc>
        <w:tc>
          <w:tcPr>
            <w:tcW w:w="2138" w:type="dxa"/>
            <w:shd w:val="clear" w:color="auto" w:fill="EFD3D2"/>
            <w:noWrap/>
            <w:vAlign w:val="center"/>
            <w:hideMark/>
          </w:tcPr>
          <w:p w:rsidR="00A93641" w:rsidRPr="00F64639" w:rsidRDefault="00A93641" w:rsidP="002F783E">
            <w:pPr>
              <w:jc w:val="center"/>
              <w:rPr>
                <w:b/>
                <w:bCs/>
                <w:color w:val="000000"/>
                <w:sz w:val="18"/>
                <w:szCs w:val="18"/>
              </w:rPr>
            </w:pPr>
            <w:r w:rsidRPr="00F64639">
              <w:rPr>
                <w:b/>
                <w:bCs/>
                <w:color w:val="000000"/>
                <w:sz w:val="18"/>
                <w:szCs w:val="18"/>
              </w:rPr>
              <w:t>96 649 149,08 Ft</w:t>
            </w:r>
          </w:p>
        </w:tc>
        <w:tc>
          <w:tcPr>
            <w:tcW w:w="1695" w:type="dxa"/>
            <w:shd w:val="clear" w:color="auto" w:fill="EFD3D2"/>
            <w:noWrap/>
            <w:vAlign w:val="center"/>
            <w:hideMark/>
          </w:tcPr>
          <w:p w:rsidR="00A93641" w:rsidRPr="00F64639" w:rsidRDefault="00A93641" w:rsidP="002F783E">
            <w:pPr>
              <w:jc w:val="center"/>
              <w:rPr>
                <w:b/>
                <w:bCs/>
                <w:color w:val="000000"/>
                <w:sz w:val="18"/>
                <w:szCs w:val="18"/>
              </w:rPr>
            </w:pPr>
            <w:r w:rsidRPr="00F64639">
              <w:rPr>
                <w:b/>
                <w:bCs/>
                <w:color w:val="000000"/>
                <w:sz w:val="18"/>
                <w:szCs w:val="18"/>
              </w:rPr>
              <w:t>- 1 634,40</w:t>
            </w:r>
          </w:p>
        </w:tc>
        <w:tc>
          <w:tcPr>
            <w:tcW w:w="1581" w:type="dxa"/>
            <w:shd w:val="clear" w:color="auto" w:fill="EFD3D2"/>
            <w:noWrap/>
            <w:vAlign w:val="center"/>
            <w:hideMark/>
          </w:tcPr>
          <w:p w:rsidR="00A93641" w:rsidRPr="00F64639" w:rsidRDefault="00A93641" w:rsidP="002F783E">
            <w:pPr>
              <w:jc w:val="center"/>
              <w:rPr>
                <w:b/>
                <w:bCs/>
                <w:color w:val="000000"/>
                <w:sz w:val="18"/>
                <w:szCs w:val="18"/>
              </w:rPr>
            </w:pPr>
            <w:r w:rsidRPr="00F64639">
              <w:rPr>
                <w:b/>
                <w:bCs/>
                <w:color w:val="000000"/>
                <w:sz w:val="18"/>
                <w:szCs w:val="18"/>
              </w:rPr>
              <w:t>76 168,70</w:t>
            </w:r>
          </w:p>
        </w:tc>
        <w:tc>
          <w:tcPr>
            <w:tcW w:w="1581" w:type="dxa"/>
            <w:shd w:val="clear" w:color="auto" w:fill="EFD3D2"/>
            <w:noWrap/>
            <w:vAlign w:val="center"/>
            <w:hideMark/>
          </w:tcPr>
          <w:p w:rsidR="00A93641" w:rsidRPr="00F64639" w:rsidRDefault="00A93641" w:rsidP="002F783E">
            <w:pPr>
              <w:jc w:val="center"/>
              <w:rPr>
                <w:b/>
                <w:bCs/>
                <w:color w:val="000000"/>
                <w:sz w:val="18"/>
                <w:szCs w:val="18"/>
              </w:rPr>
            </w:pPr>
            <w:r w:rsidRPr="00F64639">
              <w:rPr>
                <w:b/>
                <w:bCs/>
                <w:color w:val="000000"/>
                <w:sz w:val="18"/>
                <w:szCs w:val="18"/>
              </w:rPr>
              <w:t>74 534,30</w:t>
            </w:r>
          </w:p>
        </w:tc>
      </w:tr>
    </w:tbl>
    <w:bookmarkStart w:id="13" w:name="_Ref277782908"/>
    <w:p w:rsidR="00A93641" w:rsidRPr="00F64639" w:rsidRDefault="00075A29" w:rsidP="00A93641">
      <w:pPr>
        <w:pStyle w:val="Caption"/>
        <w:spacing w:before="240"/>
        <w:jc w:val="center"/>
        <w:rPr>
          <w:color w:val="auto"/>
        </w:rPr>
      </w:pPr>
      <w:r w:rsidRPr="00F64639">
        <w:rPr>
          <w:color w:val="auto"/>
        </w:rPr>
        <w:fldChar w:fldCharType="begin"/>
      </w:r>
      <w:r w:rsidR="00A93641" w:rsidRPr="00F64639">
        <w:rPr>
          <w:color w:val="auto"/>
        </w:rPr>
        <w:instrText xml:space="preserve"> SEQ táblázat \* ARABIC </w:instrText>
      </w:r>
      <w:r w:rsidRPr="00F64639">
        <w:rPr>
          <w:color w:val="auto"/>
        </w:rPr>
        <w:fldChar w:fldCharType="separate"/>
      </w:r>
      <w:r w:rsidR="00E30745" w:rsidRPr="00F64639">
        <w:rPr>
          <w:noProof/>
          <w:color w:val="auto"/>
        </w:rPr>
        <w:t>28</w:t>
      </w:r>
      <w:r w:rsidRPr="00F64639">
        <w:rPr>
          <w:color w:val="auto"/>
        </w:rPr>
        <w:fldChar w:fldCharType="end"/>
      </w:r>
      <w:r w:rsidR="00A93641" w:rsidRPr="00F64639">
        <w:rPr>
          <w:color w:val="auto"/>
        </w:rPr>
        <w:t>. táblázat</w:t>
      </w:r>
      <w:bookmarkEnd w:id="13"/>
      <w:r w:rsidR="00A93641" w:rsidRPr="00F64639">
        <w:rPr>
          <w:color w:val="auto"/>
        </w:rPr>
        <w:t>: ÁTK I-II. Jóváhagyott támogatottakra vonatkozó tervezett létszám bővítési kimutatás SFH 2007 összegek alapján történt méretbesorolás szerint</w:t>
      </w:r>
    </w:p>
    <w:p w:rsidR="00E66A4E" w:rsidRPr="00F64639" w:rsidRDefault="00E66A4E" w:rsidP="00E920EE">
      <w:pPr>
        <w:pStyle w:val="HUNNormal"/>
      </w:pPr>
      <w:r w:rsidRPr="00F64639">
        <w:t xml:space="preserve">A fentiek alapján azt lehet megállapítani, hogy a jogcímben támogatottak összességében létszámleépítést terveztek. Ha méret kategóriánként külön vizsgáljuk, akkor az látszik, hogy az alsó három üzem méret </w:t>
      </w:r>
      <w:proofErr w:type="spellStart"/>
      <w:r w:rsidRPr="00F64639">
        <w:t>kvartilisben</w:t>
      </w:r>
      <w:proofErr w:type="spellEnd"/>
      <w:r w:rsidRPr="00F64639">
        <w:t xml:space="preserve"> bővítést, míg a felsőben (ami mindig a támogatási összegben is a legmeghatározóbb) létszáml</w:t>
      </w:r>
      <w:r w:rsidRPr="00F64639">
        <w:t>e</w:t>
      </w:r>
      <w:r w:rsidRPr="00F64639">
        <w:t>építést terveztek. A létszámleépítés (terv szintjén) több volt, mint a létszámbővítés</w:t>
      </w:r>
      <w:r w:rsidR="00E740B1" w:rsidRPr="00F64639">
        <w:t>.</w:t>
      </w:r>
    </w:p>
    <w:p w:rsidR="00A93641" w:rsidRPr="00F64639" w:rsidRDefault="00A93641" w:rsidP="00E920EE">
      <w:pPr>
        <w:pStyle w:val="HUNNormal"/>
      </w:pPr>
      <w:r w:rsidRPr="00F64639">
        <w:t>Tekintettel a tervezett forrásigényre érdemesnek láttuk külön vizsgálni az ÁTK III még el nem bírált kérelmeit is. Fontos megjegyezni, hogy a jogcím tényleges hatása itt a bírálat után eltérhet a tervezettől, mert az alábbi táblázat az összes kérelem adatát tartalmazza és a bírálati szempontrendszernek elvileg van egy létszámb</w:t>
      </w:r>
      <w:r w:rsidRPr="00F64639">
        <w:t>ő</w:t>
      </w:r>
      <w:r w:rsidRPr="00F64639">
        <w:t>vítést preferáló hatása.</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661"/>
        <w:gridCol w:w="2126"/>
        <w:gridCol w:w="1418"/>
        <w:gridCol w:w="1416"/>
        <w:gridCol w:w="1758"/>
      </w:tblGrid>
      <w:tr w:rsidR="000E2F1A" w:rsidRPr="00F64639" w:rsidTr="002F783E">
        <w:trPr>
          <w:trHeight w:val="255"/>
        </w:trPr>
        <w:tc>
          <w:tcPr>
            <w:tcW w:w="1418"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rPr>
              <w:t>Méretkategóriák SFH 2007 alapján (ÁTK III)</w:t>
            </w:r>
          </w:p>
        </w:tc>
        <w:tc>
          <w:tcPr>
            <w:tcW w:w="1133"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A93641" w:rsidRPr="00F64639" w:rsidRDefault="00A93641" w:rsidP="002F783E">
            <w:pPr>
              <w:jc w:val="center"/>
              <w:rPr>
                <w:b/>
                <w:bCs/>
                <w:color w:val="FFFFFF"/>
                <w:sz w:val="18"/>
                <w:szCs w:val="18"/>
              </w:rPr>
            </w:pPr>
            <w:r w:rsidRPr="00F64639">
              <w:rPr>
                <w:b/>
                <w:bCs/>
                <w:color w:val="FFFFFF"/>
                <w:sz w:val="18"/>
                <w:szCs w:val="18"/>
              </w:rPr>
              <w:t>Igényelt támogatási összegek</w:t>
            </w:r>
          </w:p>
        </w:tc>
        <w:tc>
          <w:tcPr>
            <w:tcW w:w="756"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A93641" w:rsidRPr="00F64639" w:rsidRDefault="00A93641" w:rsidP="002F783E">
            <w:pPr>
              <w:jc w:val="center"/>
              <w:rPr>
                <w:b/>
                <w:bCs/>
                <w:color w:val="FFFFFF"/>
                <w:sz w:val="18"/>
                <w:szCs w:val="18"/>
              </w:rPr>
            </w:pPr>
            <w:r w:rsidRPr="00F64639">
              <w:rPr>
                <w:b/>
                <w:bCs/>
                <w:color w:val="FFFFFF"/>
                <w:sz w:val="18"/>
                <w:szCs w:val="18"/>
              </w:rPr>
              <w:t>Tervezett lé</w:t>
            </w:r>
            <w:r w:rsidRPr="00F64639">
              <w:rPr>
                <w:b/>
                <w:bCs/>
                <w:color w:val="FFFFFF"/>
                <w:sz w:val="18"/>
                <w:szCs w:val="18"/>
              </w:rPr>
              <w:t>t</w:t>
            </w:r>
            <w:r w:rsidRPr="00F64639">
              <w:rPr>
                <w:b/>
                <w:bCs/>
                <w:color w:val="FFFFFF"/>
                <w:sz w:val="18"/>
                <w:szCs w:val="18"/>
              </w:rPr>
              <w:t>számbővítés</w:t>
            </w:r>
          </w:p>
        </w:tc>
        <w:tc>
          <w:tcPr>
            <w:tcW w:w="755"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A93641" w:rsidRPr="00F64639" w:rsidRDefault="00A93641" w:rsidP="002F783E">
            <w:pPr>
              <w:jc w:val="center"/>
              <w:rPr>
                <w:b/>
                <w:bCs/>
                <w:color w:val="FFFFFF"/>
                <w:sz w:val="18"/>
                <w:szCs w:val="18"/>
              </w:rPr>
            </w:pPr>
            <w:r w:rsidRPr="00F64639">
              <w:rPr>
                <w:b/>
                <w:bCs/>
                <w:color w:val="FFFFFF"/>
                <w:sz w:val="18"/>
                <w:szCs w:val="18"/>
              </w:rPr>
              <w:t>Átlaglétszám (fejlesztés előtti tény)</w:t>
            </w:r>
          </w:p>
        </w:tc>
        <w:tc>
          <w:tcPr>
            <w:tcW w:w="937"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Átlaglétszám (fe</w:t>
            </w:r>
            <w:r w:rsidRPr="00F64639">
              <w:rPr>
                <w:b/>
                <w:bCs/>
                <w:color w:val="FFFFFF"/>
                <w:sz w:val="18"/>
                <w:szCs w:val="18"/>
              </w:rPr>
              <w:t>j</w:t>
            </w:r>
            <w:r w:rsidRPr="00F64639">
              <w:rPr>
                <w:b/>
                <w:bCs/>
                <w:color w:val="FFFFFF"/>
                <w:sz w:val="18"/>
                <w:szCs w:val="18"/>
              </w:rPr>
              <w:t>lesztés utánra vá</w:t>
            </w:r>
            <w:r w:rsidRPr="00F64639">
              <w:rPr>
                <w:b/>
                <w:bCs/>
                <w:color w:val="FFFFFF"/>
                <w:sz w:val="18"/>
                <w:szCs w:val="18"/>
              </w:rPr>
              <w:t>l</w:t>
            </w:r>
            <w:r w:rsidRPr="00F64639">
              <w:rPr>
                <w:b/>
                <w:bCs/>
                <w:color w:val="FFFFFF"/>
                <w:sz w:val="18"/>
                <w:szCs w:val="18"/>
              </w:rPr>
              <w:t>lalt)</w:t>
            </w:r>
          </w:p>
        </w:tc>
      </w:tr>
      <w:tr w:rsidR="000E2F1A" w:rsidRPr="00F64639" w:rsidTr="002F783E">
        <w:trPr>
          <w:trHeight w:val="255"/>
        </w:trPr>
        <w:tc>
          <w:tcPr>
            <w:tcW w:w="1418" w:type="pct"/>
            <w:tcBorders>
              <w:top w:val="single" w:sz="8" w:space="0" w:color="FFFFFF"/>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Nagy gazdálkodó</w:t>
            </w:r>
          </w:p>
        </w:tc>
        <w:tc>
          <w:tcPr>
            <w:tcW w:w="1133"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color w:val="000000"/>
                <w:sz w:val="18"/>
                <w:szCs w:val="18"/>
              </w:rPr>
            </w:pPr>
            <w:r w:rsidRPr="00F64639">
              <w:rPr>
                <w:color w:val="000000"/>
                <w:sz w:val="18"/>
                <w:szCs w:val="18"/>
              </w:rPr>
              <w:t>27 223 653 406 Ft</w:t>
            </w:r>
          </w:p>
        </w:tc>
        <w:tc>
          <w:tcPr>
            <w:tcW w:w="756"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b/>
                <w:bCs/>
                <w:i/>
                <w:iCs/>
                <w:sz w:val="18"/>
                <w:szCs w:val="18"/>
              </w:rPr>
            </w:pPr>
            <w:r w:rsidRPr="00F64639">
              <w:rPr>
                <w:b/>
                <w:bCs/>
                <w:i/>
                <w:iCs/>
                <w:sz w:val="18"/>
                <w:szCs w:val="18"/>
              </w:rPr>
              <w:t>-1165,3</w:t>
            </w:r>
          </w:p>
        </w:tc>
        <w:tc>
          <w:tcPr>
            <w:tcW w:w="755"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color w:val="000000"/>
                <w:sz w:val="18"/>
                <w:szCs w:val="18"/>
              </w:rPr>
            </w:pPr>
            <w:r w:rsidRPr="00F64639">
              <w:rPr>
                <w:color w:val="000000"/>
                <w:sz w:val="18"/>
                <w:szCs w:val="18"/>
              </w:rPr>
              <w:t>16250,3</w:t>
            </w:r>
          </w:p>
        </w:tc>
        <w:tc>
          <w:tcPr>
            <w:tcW w:w="937"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15085</w:t>
            </w:r>
          </w:p>
        </w:tc>
      </w:tr>
      <w:tr w:rsidR="000E2F1A" w:rsidRPr="00F64639" w:rsidTr="002F783E">
        <w:trPr>
          <w:trHeight w:val="255"/>
        </w:trPr>
        <w:tc>
          <w:tcPr>
            <w:tcW w:w="1418" w:type="pct"/>
            <w:tcBorders>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Középgazdálkodó</w:t>
            </w:r>
          </w:p>
        </w:tc>
        <w:tc>
          <w:tcPr>
            <w:tcW w:w="1133" w:type="pct"/>
            <w:shd w:val="clear" w:color="auto" w:fill="EFD3D2"/>
            <w:vAlign w:val="center"/>
          </w:tcPr>
          <w:p w:rsidR="00A93641" w:rsidRPr="00F64639" w:rsidRDefault="00A93641" w:rsidP="002F783E">
            <w:pPr>
              <w:jc w:val="center"/>
              <w:rPr>
                <w:color w:val="000000"/>
                <w:sz w:val="18"/>
                <w:szCs w:val="18"/>
              </w:rPr>
            </w:pPr>
            <w:r w:rsidRPr="00F64639">
              <w:rPr>
                <w:color w:val="000000"/>
                <w:sz w:val="18"/>
                <w:szCs w:val="18"/>
              </w:rPr>
              <w:t>18 291 376 454 Ft</w:t>
            </w:r>
          </w:p>
        </w:tc>
        <w:tc>
          <w:tcPr>
            <w:tcW w:w="756" w:type="pct"/>
            <w:shd w:val="clear" w:color="auto" w:fill="EFD3D2"/>
            <w:vAlign w:val="center"/>
          </w:tcPr>
          <w:p w:rsidR="00A93641" w:rsidRPr="00F64639" w:rsidRDefault="00A93641" w:rsidP="002F783E">
            <w:pPr>
              <w:jc w:val="center"/>
              <w:rPr>
                <w:color w:val="000000"/>
                <w:sz w:val="18"/>
                <w:szCs w:val="18"/>
              </w:rPr>
            </w:pPr>
            <w:r w:rsidRPr="00F64639">
              <w:rPr>
                <w:color w:val="000000"/>
                <w:sz w:val="18"/>
                <w:szCs w:val="18"/>
              </w:rPr>
              <w:t>218,1</w:t>
            </w:r>
          </w:p>
        </w:tc>
        <w:tc>
          <w:tcPr>
            <w:tcW w:w="755" w:type="pct"/>
            <w:shd w:val="clear" w:color="auto" w:fill="EFD3D2"/>
            <w:vAlign w:val="center"/>
          </w:tcPr>
          <w:p w:rsidR="00A93641" w:rsidRPr="00F64639" w:rsidRDefault="00A93641" w:rsidP="002F783E">
            <w:pPr>
              <w:jc w:val="center"/>
              <w:rPr>
                <w:color w:val="000000"/>
                <w:sz w:val="18"/>
                <w:szCs w:val="18"/>
              </w:rPr>
            </w:pPr>
            <w:r w:rsidRPr="00F64639">
              <w:rPr>
                <w:color w:val="000000"/>
                <w:sz w:val="18"/>
                <w:szCs w:val="18"/>
              </w:rPr>
              <w:t>1781,9</w:t>
            </w:r>
          </w:p>
        </w:tc>
        <w:tc>
          <w:tcPr>
            <w:tcW w:w="937" w:type="pct"/>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2000</w:t>
            </w:r>
          </w:p>
        </w:tc>
      </w:tr>
      <w:tr w:rsidR="000E2F1A" w:rsidRPr="00F64639" w:rsidTr="002F783E">
        <w:trPr>
          <w:trHeight w:val="255"/>
        </w:trPr>
        <w:tc>
          <w:tcPr>
            <w:tcW w:w="1418" w:type="pct"/>
            <w:tcBorders>
              <w:top w:val="single" w:sz="8" w:space="0" w:color="FFFFFF"/>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Kis gazdálkodó</w:t>
            </w:r>
          </w:p>
        </w:tc>
        <w:tc>
          <w:tcPr>
            <w:tcW w:w="1133"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color w:val="000000"/>
                <w:sz w:val="18"/>
                <w:szCs w:val="18"/>
              </w:rPr>
            </w:pPr>
            <w:r w:rsidRPr="00F64639">
              <w:rPr>
                <w:color w:val="000000"/>
                <w:sz w:val="18"/>
                <w:szCs w:val="18"/>
              </w:rPr>
              <w:t>9 473 937 746 Ft</w:t>
            </w:r>
          </w:p>
        </w:tc>
        <w:tc>
          <w:tcPr>
            <w:tcW w:w="756"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color w:val="000000"/>
                <w:sz w:val="18"/>
                <w:szCs w:val="18"/>
              </w:rPr>
            </w:pPr>
            <w:r w:rsidRPr="00F64639">
              <w:rPr>
                <w:color w:val="000000"/>
                <w:sz w:val="18"/>
                <w:szCs w:val="18"/>
              </w:rPr>
              <w:t>163,42</w:t>
            </w:r>
          </w:p>
        </w:tc>
        <w:tc>
          <w:tcPr>
            <w:tcW w:w="755"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color w:val="000000"/>
                <w:sz w:val="18"/>
                <w:szCs w:val="18"/>
              </w:rPr>
            </w:pPr>
            <w:r w:rsidRPr="00F64639">
              <w:rPr>
                <w:color w:val="000000"/>
                <w:sz w:val="18"/>
                <w:szCs w:val="18"/>
              </w:rPr>
              <w:t>455,58</w:t>
            </w:r>
          </w:p>
        </w:tc>
        <w:tc>
          <w:tcPr>
            <w:tcW w:w="937"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color w:val="000000"/>
                <w:sz w:val="18"/>
                <w:szCs w:val="18"/>
              </w:rPr>
            </w:pPr>
            <w:r w:rsidRPr="00F64639">
              <w:rPr>
                <w:color w:val="000000"/>
                <w:sz w:val="18"/>
                <w:szCs w:val="18"/>
              </w:rPr>
              <w:t>619</w:t>
            </w:r>
          </w:p>
        </w:tc>
      </w:tr>
      <w:tr w:rsidR="000E2F1A" w:rsidRPr="00F64639" w:rsidTr="002F783E">
        <w:trPr>
          <w:trHeight w:val="255"/>
        </w:trPr>
        <w:tc>
          <w:tcPr>
            <w:tcW w:w="1418" w:type="pct"/>
            <w:tcBorders>
              <w:left w:val="single" w:sz="8" w:space="0" w:color="FFFFFF"/>
              <w:bottom w:val="nil"/>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bCs/>
                <w:color w:val="FFFFFF"/>
                <w:sz w:val="18"/>
                <w:szCs w:val="18"/>
              </w:rPr>
              <w:t>Mikro gazdálkodó</w:t>
            </w:r>
          </w:p>
        </w:tc>
        <w:tc>
          <w:tcPr>
            <w:tcW w:w="1133" w:type="pct"/>
            <w:shd w:val="clear" w:color="auto" w:fill="EFD3D2"/>
            <w:vAlign w:val="center"/>
          </w:tcPr>
          <w:p w:rsidR="00A93641" w:rsidRPr="00F64639" w:rsidRDefault="00A93641" w:rsidP="002F783E">
            <w:pPr>
              <w:jc w:val="center"/>
              <w:rPr>
                <w:color w:val="000000"/>
                <w:sz w:val="18"/>
                <w:szCs w:val="18"/>
              </w:rPr>
            </w:pPr>
            <w:r w:rsidRPr="00F64639">
              <w:rPr>
                <w:color w:val="000000"/>
                <w:sz w:val="18"/>
                <w:szCs w:val="18"/>
              </w:rPr>
              <w:t>7 668 673 402 Ft</w:t>
            </w:r>
          </w:p>
        </w:tc>
        <w:tc>
          <w:tcPr>
            <w:tcW w:w="756" w:type="pct"/>
            <w:shd w:val="clear" w:color="auto" w:fill="EFD3D2"/>
            <w:vAlign w:val="center"/>
          </w:tcPr>
          <w:p w:rsidR="00A93641" w:rsidRPr="00F64639" w:rsidRDefault="00A93641" w:rsidP="002F783E">
            <w:pPr>
              <w:jc w:val="center"/>
              <w:rPr>
                <w:color w:val="000000"/>
                <w:sz w:val="18"/>
                <w:szCs w:val="18"/>
              </w:rPr>
            </w:pPr>
            <w:r w:rsidRPr="00F64639">
              <w:rPr>
                <w:color w:val="000000"/>
                <w:sz w:val="18"/>
                <w:szCs w:val="18"/>
              </w:rPr>
              <w:t>100,25</w:t>
            </w:r>
          </w:p>
        </w:tc>
        <w:tc>
          <w:tcPr>
            <w:tcW w:w="755" w:type="pct"/>
            <w:shd w:val="clear" w:color="auto" w:fill="EFD3D2"/>
            <w:vAlign w:val="center"/>
          </w:tcPr>
          <w:p w:rsidR="00A93641" w:rsidRPr="00F64639" w:rsidRDefault="00A93641" w:rsidP="002F783E">
            <w:pPr>
              <w:jc w:val="center"/>
              <w:rPr>
                <w:color w:val="000000"/>
                <w:sz w:val="18"/>
                <w:szCs w:val="18"/>
              </w:rPr>
            </w:pPr>
            <w:r w:rsidRPr="00F64639">
              <w:rPr>
                <w:color w:val="000000"/>
                <w:sz w:val="18"/>
                <w:szCs w:val="18"/>
              </w:rPr>
              <w:t>174,75</w:t>
            </w:r>
          </w:p>
        </w:tc>
        <w:tc>
          <w:tcPr>
            <w:tcW w:w="937" w:type="pct"/>
            <w:shd w:val="clear" w:color="auto" w:fill="EFD3D2"/>
            <w:noWrap/>
            <w:vAlign w:val="center"/>
            <w:hideMark/>
          </w:tcPr>
          <w:p w:rsidR="00A93641" w:rsidRPr="00F64639" w:rsidRDefault="00A93641" w:rsidP="002F783E">
            <w:pPr>
              <w:jc w:val="center"/>
              <w:rPr>
                <w:color w:val="000000"/>
                <w:sz w:val="18"/>
                <w:szCs w:val="18"/>
              </w:rPr>
            </w:pPr>
            <w:r w:rsidRPr="00F64639">
              <w:rPr>
                <w:color w:val="000000"/>
                <w:sz w:val="18"/>
                <w:szCs w:val="18"/>
              </w:rPr>
              <w:t>275</w:t>
            </w:r>
          </w:p>
        </w:tc>
      </w:tr>
      <w:tr w:rsidR="000E2F1A" w:rsidRPr="00F64639" w:rsidTr="002F783E">
        <w:trPr>
          <w:trHeight w:val="255"/>
        </w:trPr>
        <w:tc>
          <w:tcPr>
            <w:tcW w:w="1418" w:type="pct"/>
            <w:tcBorders>
              <w:top w:val="single" w:sz="8" w:space="0" w:color="FFFFFF"/>
              <w:left w:val="single" w:sz="8" w:space="0" w:color="FFFFFF"/>
              <w:bottom w:val="single" w:sz="8" w:space="0" w:color="FFFFFF"/>
              <w:right w:val="single" w:sz="24" w:space="0" w:color="FFFFFF"/>
            </w:tcBorders>
            <w:shd w:val="clear" w:color="auto" w:fill="C0504D"/>
            <w:noWrap/>
            <w:vAlign w:val="center"/>
            <w:hideMark/>
          </w:tcPr>
          <w:p w:rsidR="00A93641" w:rsidRPr="00F64639" w:rsidRDefault="00A93641" w:rsidP="002F783E">
            <w:pPr>
              <w:jc w:val="center"/>
              <w:rPr>
                <w:b/>
                <w:bCs/>
                <w:color w:val="FFFFFF"/>
                <w:sz w:val="18"/>
                <w:szCs w:val="18"/>
              </w:rPr>
            </w:pPr>
            <w:r w:rsidRPr="00F64639">
              <w:rPr>
                <w:b/>
                <w:color w:val="FFFFFF"/>
                <w:sz w:val="18"/>
                <w:szCs w:val="18"/>
              </w:rPr>
              <w:t>Összesen</w:t>
            </w:r>
          </w:p>
        </w:tc>
        <w:tc>
          <w:tcPr>
            <w:tcW w:w="1133"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b/>
                <w:bCs/>
                <w:color w:val="000000"/>
                <w:sz w:val="18"/>
                <w:szCs w:val="18"/>
              </w:rPr>
            </w:pPr>
            <w:r w:rsidRPr="00F64639">
              <w:rPr>
                <w:b/>
                <w:bCs/>
                <w:color w:val="000000"/>
                <w:sz w:val="18"/>
                <w:szCs w:val="18"/>
              </w:rPr>
              <w:t>62 657 641 008 Ft</w:t>
            </w:r>
          </w:p>
        </w:tc>
        <w:tc>
          <w:tcPr>
            <w:tcW w:w="756"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b/>
                <w:bCs/>
                <w:color w:val="000000"/>
                <w:sz w:val="18"/>
                <w:szCs w:val="18"/>
              </w:rPr>
            </w:pPr>
            <w:r w:rsidRPr="00F64639">
              <w:rPr>
                <w:b/>
                <w:bCs/>
                <w:color w:val="000000"/>
                <w:sz w:val="18"/>
                <w:szCs w:val="18"/>
              </w:rPr>
              <w:t>-683,53</w:t>
            </w:r>
          </w:p>
        </w:tc>
        <w:tc>
          <w:tcPr>
            <w:tcW w:w="755"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A93641" w:rsidRPr="00F64639" w:rsidRDefault="00A93641" w:rsidP="002F783E">
            <w:pPr>
              <w:jc w:val="center"/>
              <w:rPr>
                <w:b/>
                <w:bCs/>
                <w:color w:val="000000"/>
                <w:sz w:val="18"/>
                <w:szCs w:val="18"/>
              </w:rPr>
            </w:pPr>
            <w:r w:rsidRPr="00F64639">
              <w:rPr>
                <w:b/>
                <w:bCs/>
                <w:color w:val="000000"/>
                <w:sz w:val="18"/>
                <w:szCs w:val="18"/>
              </w:rPr>
              <w:t>18662,53</w:t>
            </w:r>
          </w:p>
        </w:tc>
        <w:tc>
          <w:tcPr>
            <w:tcW w:w="937"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A93641" w:rsidRPr="00F64639" w:rsidRDefault="00A93641" w:rsidP="002F783E">
            <w:pPr>
              <w:jc w:val="center"/>
              <w:rPr>
                <w:b/>
                <w:bCs/>
                <w:color w:val="000000"/>
                <w:sz w:val="18"/>
                <w:szCs w:val="18"/>
              </w:rPr>
            </w:pPr>
            <w:r w:rsidRPr="00F64639">
              <w:rPr>
                <w:b/>
                <w:bCs/>
                <w:color w:val="000000"/>
                <w:sz w:val="18"/>
                <w:szCs w:val="18"/>
              </w:rPr>
              <w:t>17979</w:t>
            </w:r>
          </w:p>
        </w:tc>
      </w:tr>
    </w:tbl>
    <w:bookmarkStart w:id="14" w:name="_Ref277526273"/>
    <w:p w:rsidR="00A93641" w:rsidRPr="00F64639" w:rsidRDefault="00075A29" w:rsidP="00A93641">
      <w:pPr>
        <w:pStyle w:val="Caption"/>
        <w:spacing w:before="240"/>
        <w:jc w:val="center"/>
        <w:rPr>
          <w:color w:val="auto"/>
        </w:rPr>
      </w:pPr>
      <w:r w:rsidRPr="00F64639">
        <w:rPr>
          <w:color w:val="auto"/>
        </w:rPr>
        <w:fldChar w:fldCharType="begin"/>
      </w:r>
      <w:r w:rsidR="00A93641" w:rsidRPr="00F64639">
        <w:rPr>
          <w:color w:val="auto"/>
        </w:rPr>
        <w:instrText xml:space="preserve"> SEQ táblázat \* ARABIC </w:instrText>
      </w:r>
      <w:r w:rsidRPr="00F64639">
        <w:rPr>
          <w:color w:val="auto"/>
        </w:rPr>
        <w:fldChar w:fldCharType="separate"/>
      </w:r>
      <w:r w:rsidR="00E30745" w:rsidRPr="00F64639">
        <w:rPr>
          <w:noProof/>
          <w:color w:val="auto"/>
        </w:rPr>
        <w:t>29</w:t>
      </w:r>
      <w:r w:rsidRPr="00F64639">
        <w:rPr>
          <w:color w:val="auto"/>
        </w:rPr>
        <w:fldChar w:fldCharType="end"/>
      </w:r>
      <w:r w:rsidR="00A93641" w:rsidRPr="00F64639">
        <w:rPr>
          <w:color w:val="auto"/>
        </w:rPr>
        <w:t>. táblázat</w:t>
      </w:r>
      <w:bookmarkEnd w:id="14"/>
      <w:r w:rsidR="00A93641" w:rsidRPr="00F64639">
        <w:rPr>
          <w:color w:val="auto"/>
        </w:rPr>
        <w:t>: ÁTK III. jogcím tervezett létszámbővítése</w:t>
      </w:r>
    </w:p>
    <w:p w:rsidR="00CE279B" w:rsidRPr="00F64639" w:rsidRDefault="00A93641" w:rsidP="00AD44B8">
      <w:pPr>
        <w:pStyle w:val="HUNNormal"/>
        <w:tabs>
          <w:tab w:val="left" w:pos="709"/>
        </w:tabs>
      </w:pPr>
      <w:r w:rsidRPr="00F64639">
        <w:t xml:space="preserve">Vizsgáltuk külön </w:t>
      </w:r>
      <w:r w:rsidR="001C679A" w:rsidRPr="00F64639">
        <w:t xml:space="preserve">a vízminőségre gyakorolt </w:t>
      </w:r>
      <w:r w:rsidRPr="00F64639">
        <w:t xml:space="preserve">potenciális </w:t>
      </w:r>
      <w:r w:rsidR="001C679A" w:rsidRPr="00F64639">
        <w:t>hatás</w:t>
      </w:r>
      <w:r w:rsidRPr="00F64639">
        <w:t>t</w:t>
      </w:r>
      <w:r w:rsidR="001C679A" w:rsidRPr="00F64639">
        <w:t>. Ennek vizsgálata érdekében összevetettük a támogatott projektek helyszíneit a nitrát érzékeny területek lehatárolásával. Az eredményt a</w:t>
      </w:r>
      <w:r w:rsidR="00BE2D72" w:rsidRPr="00F64639">
        <w:t xml:space="preserve"> </w:t>
      </w:r>
      <w:r w:rsidRPr="00F64639">
        <w:t>következő ábra</w:t>
      </w:r>
      <w:r w:rsidR="001C679A" w:rsidRPr="00F64639">
        <w:t xml:space="preserve"> szemlélteti.</w:t>
      </w:r>
    </w:p>
    <w:p w:rsidR="00BE2D72" w:rsidRPr="00F64639" w:rsidRDefault="00374E45" w:rsidP="00BE2D72">
      <w:pPr>
        <w:pStyle w:val="HUNNormal"/>
        <w:tabs>
          <w:tab w:val="left" w:pos="709"/>
        </w:tabs>
        <w:jc w:val="center"/>
      </w:pPr>
      <w:r w:rsidRPr="00F64639">
        <w:rPr>
          <w:noProof/>
        </w:rPr>
        <w:lastRenderedPageBreak/>
        <w:drawing>
          <wp:inline distT="0" distB="0" distL="0" distR="0">
            <wp:extent cx="5296535" cy="3588385"/>
            <wp:effectExtent l="19050" t="0" r="0" b="0"/>
            <wp:docPr id="1" name="Picture 3" descr="atk_ni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k_nitrat.jpg"/>
                    <pic:cNvPicPr>
                      <a:picLocks noChangeAspect="1" noChangeArrowheads="1"/>
                    </pic:cNvPicPr>
                  </pic:nvPicPr>
                  <pic:blipFill>
                    <a:blip r:embed="rId15" cstate="print"/>
                    <a:srcRect l="2390" t="5618" r="2789" b="3934"/>
                    <a:stretch>
                      <a:fillRect/>
                    </a:stretch>
                  </pic:blipFill>
                  <pic:spPr bwMode="auto">
                    <a:xfrm>
                      <a:off x="0" y="0"/>
                      <a:ext cx="5296535" cy="3588385"/>
                    </a:xfrm>
                    <a:prstGeom prst="rect">
                      <a:avLst/>
                    </a:prstGeom>
                    <a:noFill/>
                    <a:ln w="9525">
                      <a:noFill/>
                      <a:miter lim="800000"/>
                      <a:headEnd/>
                      <a:tailEnd/>
                    </a:ln>
                  </pic:spPr>
                </pic:pic>
              </a:graphicData>
            </a:graphic>
          </wp:inline>
        </w:drawing>
      </w:r>
    </w:p>
    <w:bookmarkStart w:id="15" w:name="_Ref278187978"/>
    <w:p w:rsidR="00BE2D72" w:rsidRPr="00F64639" w:rsidRDefault="00075A29" w:rsidP="00BE2D72">
      <w:pPr>
        <w:pStyle w:val="Caption"/>
        <w:jc w:val="center"/>
        <w:rPr>
          <w:b w:val="0"/>
          <w:color w:val="auto"/>
        </w:rPr>
      </w:pPr>
      <w:r w:rsidRPr="00F64639">
        <w:rPr>
          <w:color w:val="auto"/>
        </w:rPr>
        <w:fldChar w:fldCharType="begin"/>
      </w:r>
      <w:r w:rsidR="00BE2D72" w:rsidRPr="00F64639">
        <w:rPr>
          <w:color w:val="auto"/>
        </w:rPr>
        <w:instrText xml:space="preserve"> SEQ ábra \* ARABIC </w:instrText>
      </w:r>
      <w:r w:rsidRPr="00F64639">
        <w:rPr>
          <w:color w:val="auto"/>
        </w:rPr>
        <w:fldChar w:fldCharType="separate"/>
      </w:r>
      <w:r w:rsidR="00E30745" w:rsidRPr="00F64639">
        <w:rPr>
          <w:noProof/>
          <w:color w:val="auto"/>
        </w:rPr>
        <w:t>2</w:t>
      </w:r>
      <w:r w:rsidRPr="00F64639">
        <w:rPr>
          <w:color w:val="auto"/>
        </w:rPr>
        <w:fldChar w:fldCharType="end"/>
      </w:r>
      <w:r w:rsidR="00BE2D72" w:rsidRPr="00F64639">
        <w:rPr>
          <w:color w:val="auto"/>
        </w:rPr>
        <w:t>. ábra</w:t>
      </w:r>
      <w:bookmarkEnd w:id="15"/>
      <w:r w:rsidR="00BE2D72" w:rsidRPr="00F64639">
        <w:rPr>
          <w:color w:val="auto"/>
        </w:rPr>
        <w:t>: Az ÁTK projektek földrajzi elhelyezkedése</w:t>
      </w:r>
    </w:p>
    <w:p w:rsidR="00A93641" w:rsidRPr="00F64639" w:rsidRDefault="00A93641" w:rsidP="00393C2E">
      <w:pPr>
        <w:pStyle w:val="HUNNormal"/>
        <w:tabs>
          <w:tab w:val="left" w:pos="709"/>
        </w:tabs>
      </w:pPr>
      <w:r w:rsidRPr="00F64639">
        <w:t xml:space="preserve">Az ábra is mutatja, </w:t>
      </w:r>
      <w:r w:rsidRPr="00F64639">
        <w:rPr>
          <w:b/>
        </w:rPr>
        <w:t>hogy jelentős mértékű az átfedés a támogatott projekt helyszínek és a nitrát érzékeny területek között.</w:t>
      </w:r>
      <w:r w:rsidRPr="00F64639">
        <w:t xml:space="preserve"> </w:t>
      </w:r>
    </w:p>
    <w:p w:rsidR="001C679A" w:rsidRPr="00F64639" w:rsidRDefault="001C679A" w:rsidP="00393C2E">
      <w:pPr>
        <w:pStyle w:val="HUNNormal"/>
        <w:tabs>
          <w:tab w:val="left" w:pos="709"/>
        </w:tabs>
      </w:pPr>
      <w:r w:rsidRPr="00F64639">
        <w:t>A támogatási arányok elemzése alapján</w:t>
      </w:r>
      <w:r w:rsidR="00DB0319" w:rsidRPr="00F64639">
        <w:t>,</w:t>
      </w:r>
      <w:r w:rsidRPr="00F64639">
        <w:t xml:space="preserve"> a támogatottak </w:t>
      </w:r>
      <w:r w:rsidR="00393C2E" w:rsidRPr="00F64639">
        <w:t>az 50%-nál több támogatás elnyerők száma: 1248 db (1761-ből)</w:t>
      </w:r>
      <w:r w:rsidR="00DB0319" w:rsidRPr="00F64639">
        <w:t>,</w:t>
      </w:r>
      <w:r w:rsidR="00393C2E" w:rsidRPr="00F64639">
        <w:t xml:space="preserve"> a 60%-nál több támogatás elnyerők száma: 983 db (1761-ből).</w:t>
      </w:r>
      <w:r w:rsidR="00184CDA" w:rsidRPr="00F64639">
        <w:t xml:space="preserve"> A támogatási arány szintén azt mutatja, hogy magas arányban voltak azok, akik a trágyaelhelyezés fejlesztése komponensre 75%-os támogatást kaptak, vagyis nitrát érzékeny területen fejlesztettek.</w:t>
      </w:r>
    </w:p>
    <w:p w:rsidR="001C679A" w:rsidRPr="00F64639" w:rsidRDefault="00184CDA" w:rsidP="00AD44B8">
      <w:pPr>
        <w:pStyle w:val="HUNNormal"/>
        <w:tabs>
          <w:tab w:val="left" w:pos="709"/>
        </w:tabs>
      </w:pPr>
      <w:r w:rsidRPr="00F64639">
        <w:t>A</w:t>
      </w:r>
      <w:r w:rsidR="007D0AF8" w:rsidRPr="00F64639">
        <w:t xml:space="preserve"> jogcím</w:t>
      </w:r>
      <w:r w:rsidRPr="00F64639">
        <w:t xml:space="preserve"> beruházásainak</w:t>
      </w:r>
      <w:r w:rsidR="007D0AF8" w:rsidRPr="00F64639">
        <w:t xml:space="preserve"> az éghajlatváltozás elleni küzdelem</w:t>
      </w:r>
      <w:r w:rsidRPr="00F64639">
        <w:t xml:space="preserve"> területén is van szerepe</w:t>
      </w:r>
      <w:r w:rsidR="007D0AF8" w:rsidRPr="00F64639">
        <w:t>, mivel a biogáz has</w:t>
      </w:r>
      <w:r w:rsidR="007D0AF8" w:rsidRPr="00F64639">
        <w:t>z</w:t>
      </w:r>
      <w:r w:rsidR="007D0AF8" w:rsidRPr="00F64639">
        <w:t>nosítás az üvegházhatású gázok kibocsátását csökkenti.</w:t>
      </w:r>
      <w:r w:rsidRPr="00F64639">
        <w:t xml:space="preserve"> Sajnos itt számszerűsíthető adatot nem tudtunk feltárni a potenciális hatásra sem, mert a biogáz kapacitás értékek nincsenek rögzítve az </w:t>
      </w:r>
      <w:proofErr w:type="spellStart"/>
      <w:r w:rsidRPr="00F64639">
        <w:t>IIER-be</w:t>
      </w:r>
      <w:r w:rsidR="00E740B1" w:rsidRPr="00F64639">
        <w:t>n</w:t>
      </w:r>
      <w:proofErr w:type="spellEnd"/>
      <w:r w:rsidRPr="00F64639">
        <w:t>.</w:t>
      </w:r>
    </w:p>
    <w:p w:rsidR="00184CDA" w:rsidRPr="00F64639" w:rsidRDefault="00184CDA" w:rsidP="00AD44B8">
      <w:pPr>
        <w:pStyle w:val="HUNNormal"/>
        <w:tabs>
          <w:tab w:val="left" w:pos="709"/>
        </w:tabs>
      </w:pPr>
      <w:r w:rsidRPr="00F64639">
        <w:t xml:space="preserve">A trágyakezelés és a biogáz termelés fejlesztésére összesen 72 </w:t>
      </w:r>
      <w:proofErr w:type="spellStart"/>
      <w:r w:rsidRPr="00F64639">
        <w:t>mrd</w:t>
      </w:r>
      <w:proofErr w:type="spellEnd"/>
      <w:r w:rsidR="0022006B" w:rsidRPr="00F64639">
        <w:t xml:space="preserve"> Ft</w:t>
      </w:r>
      <w:r w:rsidRPr="00F64639">
        <w:t xml:space="preserve"> támogatást nyertek el. Ez jelentős mértékű beruházást feltételez, amelyek hatása a későbbi években mérhető lehet.</w:t>
      </w:r>
    </w:p>
    <w:p w:rsidR="00E740B1" w:rsidRDefault="00E740B1" w:rsidP="00AD44B8">
      <w:pPr>
        <w:pStyle w:val="HUNNormal"/>
        <w:tabs>
          <w:tab w:val="left" w:pos="709"/>
        </w:tabs>
      </w:pPr>
    </w:p>
    <w:p w:rsidR="00301E88" w:rsidRDefault="00301E88" w:rsidP="00AD44B8">
      <w:pPr>
        <w:pStyle w:val="HUNNormal"/>
        <w:tabs>
          <w:tab w:val="left" w:pos="709"/>
        </w:tabs>
      </w:pPr>
    </w:p>
    <w:p w:rsidR="00301E88" w:rsidRDefault="00301E88" w:rsidP="00AD44B8">
      <w:pPr>
        <w:pStyle w:val="HUNNormal"/>
        <w:tabs>
          <w:tab w:val="left" w:pos="709"/>
        </w:tabs>
      </w:pPr>
    </w:p>
    <w:p w:rsidR="00301E88" w:rsidRDefault="00301E88" w:rsidP="00AD44B8">
      <w:pPr>
        <w:pStyle w:val="HUNNormal"/>
        <w:tabs>
          <w:tab w:val="left" w:pos="709"/>
        </w:tabs>
      </w:pPr>
    </w:p>
    <w:p w:rsidR="00301E88" w:rsidRDefault="00301E88" w:rsidP="00AD44B8">
      <w:pPr>
        <w:pStyle w:val="HUNNormal"/>
        <w:tabs>
          <w:tab w:val="left" w:pos="709"/>
        </w:tabs>
      </w:pPr>
    </w:p>
    <w:p w:rsidR="00301E88" w:rsidRDefault="00301E88" w:rsidP="00AD44B8">
      <w:pPr>
        <w:pStyle w:val="HUNNormal"/>
        <w:tabs>
          <w:tab w:val="left" w:pos="709"/>
        </w:tabs>
      </w:pPr>
    </w:p>
    <w:p w:rsidR="00301E88" w:rsidRDefault="00301E88" w:rsidP="00AD44B8">
      <w:pPr>
        <w:pStyle w:val="HUNNormal"/>
        <w:tabs>
          <w:tab w:val="left" w:pos="709"/>
        </w:tabs>
      </w:pPr>
    </w:p>
    <w:p w:rsidR="00DD5284" w:rsidRPr="00F64639" w:rsidRDefault="00DD5284" w:rsidP="00AD44B8">
      <w:pPr>
        <w:pStyle w:val="HUNNormal"/>
        <w:tabs>
          <w:tab w:val="left" w:pos="709"/>
        </w:tabs>
      </w:pPr>
    </w:p>
    <w:p w:rsidR="00C76D9A" w:rsidRPr="00F64639" w:rsidRDefault="007D0AF8" w:rsidP="00AD44B8">
      <w:pPr>
        <w:pStyle w:val="HUNNormal"/>
        <w:tabs>
          <w:tab w:val="left" w:pos="709"/>
        </w:tabs>
        <w:rPr>
          <w:b/>
        </w:rPr>
      </w:pPr>
      <w:r w:rsidRPr="00F64639">
        <w:rPr>
          <w:b/>
        </w:rPr>
        <w:lastRenderedPageBreak/>
        <w:t>Hatékonyságvizsgálat</w:t>
      </w:r>
    </w:p>
    <w:p w:rsidR="007D0AF8" w:rsidRPr="00F64639" w:rsidRDefault="00C76D9A" w:rsidP="00AD44B8">
      <w:pPr>
        <w:pStyle w:val="HUNNormal"/>
        <w:tabs>
          <w:tab w:val="left" w:pos="709"/>
        </w:tabs>
      </w:pPr>
      <w:r w:rsidRPr="00F64639">
        <w:t>Egyes megkérdezett szakértők és az intézményrendszer egyes munkatársai részéről is felmerült, hogy a pr</w:t>
      </w:r>
      <w:r w:rsidRPr="00F64639">
        <w:t>o</w:t>
      </w:r>
      <w:r w:rsidRPr="00F64639">
        <w:t xml:space="preserve">jektek technológiai, üzleti hátterével kapcsolatosan </w:t>
      </w:r>
      <w:r w:rsidR="00993A31">
        <w:t>nem voltak kellően szigorúak</w:t>
      </w:r>
      <w:r w:rsidRPr="00F64639">
        <w:t xml:space="preserve"> a feltételek. Az olykor sok százmillió forint értékű beruházáshoz elegendő volt benyújtani egy a 23/2007 FVM miniszteri rendelet el</w:t>
      </w:r>
      <w:r w:rsidRPr="00F64639">
        <w:t>ő</w:t>
      </w:r>
      <w:r w:rsidRPr="00F64639">
        <w:t>írásainak megfelelő műszaki dokumentációt. A rendelet a következőket követeli meg:</w:t>
      </w:r>
    </w:p>
    <w:p w:rsidR="00C76D9A" w:rsidRPr="00F64639" w:rsidRDefault="00C76D9A" w:rsidP="00C76D9A">
      <w:pPr>
        <w:pStyle w:val="AAMNormal"/>
        <w:ind w:left="284"/>
        <w:rPr>
          <w:i/>
        </w:rPr>
      </w:pPr>
      <w:r w:rsidRPr="00F64639">
        <w:rPr>
          <w:i/>
        </w:rPr>
        <w:t>27. § (1) A támogatási kérelemhez mellékelni kell</w:t>
      </w:r>
    </w:p>
    <w:p w:rsidR="00C76D9A" w:rsidRPr="00F64639" w:rsidRDefault="00E740B1" w:rsidP="00C76D9A">
      <w:pPr>
        <w:pStyle w:val="AAMNormal"/>
        <w:ind w:left="284"/>
        <w:rPr>
          <w:i/>
        </w:rPr>
      </w:pPr>
      <w:r w:rsidRPr="00F64639">
        <w:rPr>
          <w:i/>
        </w:rPr>
        <w:t>[…]</w:t>
      </w:r>
    </w:p>
    <w:p w:rsidR="00C76D9A" w:rsidRPr="00F64639" w:rsidRDefault="00C76D9A" w:rsidP="00C76D9A">
      <w:pPr>
        <w:pStyle w:val="AAMNormal"/>
        <w:ind w:left="284"/>
        <w:rPr>
          <w:i/>
        </w:rPr>
      </w:pPr>
      <w:r w:rsidRPr="00F64639">
        <w:rPr>
          <w:i/>
        </w:rPr>
        <w:t>c</w:t>
      </w:r>
      <w:proofErr w:type="gramStart"/>
      <w:r w:rsidRPr="00F64639">
        <w:rPr>
          <w:i/>
        </w:rPr>
        <w:t>)építési</w:t>
      </w:r>
      <w:proofErr w:type="gramEnd"/>
      <w:r w:rsidRPr="00F64639">
        <w:rPr>
          <w:i/>
        </w:rPr>
        <w:t xml:space="preserve"> beruházások esetén tervdokumentációt, ami a</w:t>
      </w:r>
      <w:r w:rsidR="00FA6116" w:rsidRPr="00F64639">
        <w:rPr>
          <w:i/>
        </w:rPr>
        <w:t xml:space="preserve"> </w:t>
      </w:r>
      <w:r w:rsidRPr="00F64639">
        <w:rPr>
          <w:i/>
        </w:rPr>
        <w:t>tervezett építmény jellegétől függően minimál</w:t>
      </w:r>
      <w:r w:rsidRPr="00F64639">
        <w:rPr>
          <w:i/>
        </w:rPr>
        <w:t>i</w:t>
      </w:r>
      <w:r w:rsidRPr="00F64639">
        <w:rPr>
          <w:i/>
        </w:rPr>
        <w:t>san</w:t>
      </w:r>
      <w:r w:rsidR="00DB0319" w:rsidRPr="00F64639">
        <w:rPr>
          <w:i/>
        </w:rPr>
        <w:t xml:space="preserve"> </w:t>
      </w:r>
      <w:r w:rsidRPr="00F64639">
        <w:rPr>
          <w:i/>
        </w:rPr>
        <w:t xml:space="preserve">tartalmazza az </w:t>
      </w:r>
      <w:proofErr w:type="spellStart"/>
      <w:r w:rsidRPr="00F64639">
        <w:rPr>
          <w:i/>
        </w:rPr>
        <w:t>alaprajzo</w:t>
      </w:r>
      <w:proofErr w:type="spellEnd"/>
      <w:r w:rsidRPr="00F64639">
        <w:rPr>
          <w:i/>
        </w:rPr>
        <w:t>(</w:t>
      </w:r>
      <w:proofErr w:type="spellStart"/>
      <w:r w:rsidRPr="00F64639">
        <w:rPr>
          <w:i/>
        </w:rPr>
        <w:t>ka</w:t>
      </w:r>
      <w:proofErr w:type="spellEnd"/>
      <w:r w:rsidRPr="00F64639">
        <w:rPr>
          <w:i/>
        </w:rPr>
        <w:t xml:space="preserve">)t, </w:t>
      </w:r>
      <w:proofErr w:type="spellStart"/>
      <w:r w:rsidRPr="00F64639">
        <w:rPr>
          <w:i/>
        </w:rPr>
        <w:t>homlokzato</w:t>
      </w:r>
      <w:proofErr w:type="spellEnd"/>
      <w:r w:rsidRPr="00F64639">
        <w:rPr>
          <w:i/>
        </w:rPr>
        <w:t>(</w:t>
      </w:r>
      <w:proofErr w:type="spellStart"/>
      <w:r w:rsidRPr="00F64639">
        <w:rPr>
          <w:i/>
        </w:rPr>
        <w:t>ka</w:t>
      </w:r>
      <w:proofErr w:type="spellEnd"/>
      <w:r w:rsidRPr="00F64639">
        <w:rPr>
          <w:i/>
        </w:rPr>
        <w:t>)t, metszete(</w:t>
      </w:r>
      <w:proofErr w:type="spellStart"/>
      <w:r w:rsidRPr="00F64639">
        <w:rPr>
          <w:i/>
        </w:rPr>
        <w:t>ke</w:t>
      </w:r>
      <w:proofErr w:type="spellEnd"/>
      <w:r w:rsidRPr="00F64639">
        <w:rPr>
          <w:i/>
        </w:rPr>
        <w:t xml:space="preserve">)t és </w:t>
      </w:r>
      <w:proofErr w:type="spellStart"/>
      <w:r w:rsidRPr="00F64639">
        <w:rPr>
          <w:i/>
        </w:rPr>
        <w:t>részletrajzo</w:t>
      </w:r>
      <w:proofErr w:type="spellEnd"/>
      <w:r w:rsidRPr="00F64639">
        <w:rPr>
          <w:i/>
        </w:rPr>
        <w:t>(</w:t>
      </w:r>
      <w:proofErr w:type="spellStart"/>
      <w:r w:rsidRPr="00F64639">
        <w:rPr>
          <w:i/>
        </w:rPr>
        <w:t>ka</w:t>
      </w:r>
      <w:proofErr w:type="spellEnd"/>
      <w:r w:rsidRPr="00F64639">
        <w:rPr>
          <w:i/>
        </w:rPr>
        <w:t>)t, illetve azok mére</w:t>
      </w:r>
      <w:r w:rsidRPr="00F64639">
        <w:rPr>
          <w:i/>
        </w:rPr>
        <w:t>t</w:t>
      </w:r>
      <w:r w:rsidRPr="00F64639">
        <w:rPr>
          <w:i/>
        </w:rPr>
        <w:t>arányos adatait, a tervdokumentációt a tervezői névjegyzékben szereplő építésztervező ellenjegyzésével kell ellátni;</w:t>
      </w:r>
    </w:p>
    <w:p w:rsidR="00C76D9A" w:rsidRPr="00F64639" w:rsidRDefault="00E740B1" w:rsidP="00C76D9A">
      <w:pPr>
        <w:pStyle w:val="AAMNormal"/>
        <w:ind w:left="284"/>
        <w:rPr>
          <w:i/>
        </w:rPr>
      </w:pPr>
      <w:r w:rsidRPr="00F64639">
        <w:rPr>
          <w:i/>
        </w:rPr>
        <w:t>[…]</w:t>
      </w:r>
    </w:p>
    <w:p w:rsidR="00C76D9A" w:rsidRPr="00F64639" w:rsidRDefault="00C76D9A" w:rsidP="00AD44B8">
      <w:pPr>
        <w:pStyle w:val="HUNNormal"/>
        <w:tabs>
          <w:tab w:val="left" w:pos="709"/>
        </w:tabs>
      </w:pPr>
      <w:r w:rsidRPr="00F64639">
        <w:t xml:space="preserve">Ennek a követelménynek még meg lehet úgy felelni, hogy a műszaki terv kidolgozottsága nem éri el a </w:t>
      </w:r>
      <w:r w:rsidR="001F6726">
        <w:t>kellő</w:t>
      </w:r>
      <w:r w:rsidRPr="00F64639">
        <w:t xml:space="preserve"> részletezettséget. </w:t>
      </w:r>
      <w:r w:rsidR="00D636DB" w:rsidRPr="00F64639">
        <w:t>A magas támogatási arány (75%), a bírálat az ÉNGY referenciaáraira alapozó normatív megközelítése sok kérelmezőt arra sarkalt, hogy túlbecsülje ebben a szakaszban a költségeket. Erre lehet</w:t>
      </w:r>
      <w:r w:rsidR="00D636DB" w:rsidRPr="00F64639">
        <w:t>ő</w:t>
      </w:r>
      <w:r w:rsidR="00D636DB" w:rsidRPr="00F64639">
        <w:t>séget adott azzal is a jogcím, hogy a költséghatékonyságot csak a munkaerő bővítésnél preferálta, egyé</w:t>
      </w:r>
      <w:r w:rsidR="00D636DB" w:rsidRPr="00F64639">
        <w:t>b</w:t>
      </w:r>
      <w:r w:rsidR="00D636DB" w:rsidRPr="00F64639">
        <w:t>ként költséglimiteket használt. Első körben a rövid b</w:t>
      </w:r>
      <w:r w:rsidR="00D636DB" w:rsidRPr="00F64639">
        <w:t>e</w:t>
      </w:r>
      <w:r w:rsidR="00D636DB" w:rsidRPr="00F64639">
        <w:t xml:space="preserve">nyújtási időszak (1 hónap) nem is adott lehetőséget alaposabb előkészítésre, a kérelmek rohammunkában készültek el (a jogcímrendelet is csak a benyújtás honapjában jelent meg). A felülbecsült költségeket aztán a támogatottak igyekeztek legalább 80%-ban </w:t>
      </w:r>
      <w:r w:rsidR="001E2EE0" w:rsidRPr="00F64639">
        <w:t>(k</w:t>
      </w:r>
      <w:r w:rsidR="001E2EE0" w:rsidRPr="00F64639">
        <w:t>é</w:t>
      </w:r>
      <w:r w:rsidR="001E2EE0" w:rsidRPr="00F64639">
        <w:t xml:space="preserve">sőbb 50%-ban) </w:t>
      </w:r>
      <w:r w:rsidR="00D636DB" w:rsidRPr="00F64639">
        <w:t xml:space="preserve">kihasználni, hiszen ez alatt szankciókkal szembesültek volna. </w:t>
      </w:r>
    </w:p>
    <w:p w:rsidR="009A6693" w:rsidRPr="00F64639" w:rsidRDefault="009A6693" w:rsidP="009A6693">
      <w:pPr>
        <w:pStyle w:val="HUNNormal"/>
        <w:tabs>
          <w:tab w:val="left" w:pos="709"/>
        </w:tabs>
      </w:pPr>
      <w:r w:rsidRPr="00F64639">
        <w:t>A jogcímrendelet technológiai kódokat határozott meg, ami lehetővé tette a gyors kérelem benyújtást. Ez azonban a későbbiekben hátránnyá vált, mivel a megvalósítás során a kódok már kö</w:t>
      </w:r>
      <w:r w:rsidR="001E2EE0" w:rsidRPr="00F64639">
        <w:t>töttséget jelentettek, miközben a nem kellően alapos előkészítés miatt</w:t>
      </w:r>
      <w:r w:rsidR="00211886" w:rsidRPr="00F64639">
        <w:t>,</w:t>
      </w:r>
      <w:r w:rsidR="001E2EE0" w:rsidRPr="00F64639">
        <w:t xml:space="preserve"> sok projektnél a megvalósítás előtt merült fel egy-egy r</w:t>
      </w:r>
      <w:r w:rsidR="001E2EE0" w:rsidRPr="00F64639">
        <w:t>a</w:t>
      </w:r>
      <w:r w:rsidR="001E2EE0" w:rsidRPr="00F64639">
        <w:t>cionálisabb technológiai megoldást.</w:t>
      </w:r>
      <w:r w:rsidRPr="00F64639">
        <w:t xml:space="preserve"> Az ÁTK</w:t>
      </w:r>
      <w:r w:rsidR="001E2EE0" w:rsidRPr="00F64639">
        <w:t xml:space="preserve"> I</w:t>
      </w:r>
      <w:r w:rsidRPr="00F64639">
        <w:t xml:space="preserve"> és ÁTK </w:t>
      </w:r>
      <w:r w:rsidR="001E2EE0" w:rsidRPr="00F64639">
        <w:t>II</w:t>
      </w:r>
      <w:r w:rsidRPr="00F64639">
        <w:t xml:space="preserve"> intézkedés esetében </w:t>
      </w:r>
      <w:r w:rsidR="001E2EE0" w:rsidRPr="00F64639">
        <w:t>több</w:t>
      </w:r>
      <w:r w:rsidRPr="00F64639">
        <w:t xml:space="preserve"> beruházó in</w:t>
      </w:r>
      <w:r w:rsidR="001E2EE0" w:rsidRPr="00F64639">
        <w:t>kább elállt</w:t>
      </w:r>
      <w:r w:rsidRPr="00F64639">
        <w:t xml:space="preserve"> az adott technológiai kód megvalósításától, akár a beruházás egészétől is, mivel időközben a megvalósítás már nem lenne racio</w:t>
      </w:r>
      <w:r w:rsidR="001E2EE0" w:rsidRPr="00F64639">
        <w:t>nális.</w:t>
      </w:r>
    </w:p>
    <w:p w:rsidR="009A6693" w:rsidRPr="00F64639" w:rsidRDefault="009A6693" w:rsidP="009A6693">
      <w:pPr>
        <w:pStyle w:val="HUNNormal"/>
        <w:tabs>
          <w:tab w:val="left" w:pos="709"/>
        </w:tabs>
      </w:pPr>
      <w:r w:rsidRPr="00F64639">
        <w:t>A minisztérium részéről több lépés is történt a támogatási feltételek enyhítése irányába a támogatások minél magasabb arányban történő lehívásának érdekében. Az ÁTK jogcímrendelet 13 alkalommal került módos</w:t>
      </w:r>
      <w:r w:rsidRPr="00F64639">
        <w:t>í</w:t>
      </w:r>
      <w:r w:rsidRPr="00F64639">
        <w:t>tásra. A könnyítések egy része az ÚMVP minden beruházási intézkedését érinti</w:t>
      </w:r>
      <w:r w:rsidR="001E2EE0" w:rsidRPr="00F64639">
        <w:t xml:space="preserve"> (</w:t>
      </w:r>
      <w:r w:rsidRPr="00F64639">
        <w:t>pl.: a megvalósítási idősza</w:t>
      </w:r>
      <w:r w:rsidRPr="00F64639">
        <w:t>k</w:t>
      </w:r>
      <w:r w:rsidRPr="00F64639">
        <w:t>ok meghosszabbítása és a megvalósítási kötelezettség 80%-ról 50%-ra történő csökkentése</w:t>
      </w:r>
      <w:r w:rsidR="001E2EE0" w:rsidRPr="00F64639">
        <w:t>)</w:t>
      </w:r>
      <w:r w:rsidRPr="00F64639">
        <w:t xml:space="preserve">. </w:t>
      </w:r>
    </w:p>
    <w:p w:rsidR="009A6693" w:rsidRPr="00F64639" w:rsidRDefault="009A6693" w:rsidP="009A6693">
      <w:pPr>
        <w:pStyle w:val="HUNNormal"/>
        <w:tabs>
          <w:tab w:val="left" w:pos="709"/>
        </w:tabs>
      </w:pPr>
      <w:r w:rsidRPr="00F64639">
        <w:t>A módosítások ellentmondást is eredményeztek, ugyanis a megvalósítási kötelezettség ugyan 50%-ra csö</w:t>
      </w:r>
      <w:r w:rsidRPr="00F64639">
        <w:t>k</w:t>
      </w:r>
      <w:r w:rsidRPr="00F64639">
        <w:t>kent, de a szinten tartandó állategység 80%, baromfi esetén 65% maradt. A beruházók ugyan elállhatnak bizonyos technikai kódoktól, az állategységet azonban magas arányban el kell érniük a fejlesztés befejez</w:t>
      </w:r>
      <w:r w:rsidRPr="00F64639">
        <w:t>é</w:t>
      </w:r>
      <w:r w:rsidRPr="00F64639">
        <w:t>sét követően.</w:t>
      </w:r>
      <w:r w:rsidR="001E2EE0" w:rsidRPr="00F64639">
        <w:t xml:space="preserve"> Ugyanakkor a hatás tekintetében nyilvánvalóan további könnyítést nem lehet engedélyezni.</w:t>
      </w:r>
    </w:p>
    <w:p w:rsidR="009A6693" w:rsidRPr="00F64639" w:rsidRDefault="009A6693" w:rsidP="009A6693">
      <w:pPr>
        <w:pStyle w:val="HUNNormal"/>
        <w:tabs>
          <w:tab w:val="left" w:pos="709"/>
        </w:tabs>
      </w:pPr>
      <w:r w:rsidRPr="00F64639">
        <w:t>Az ÁTK III jogcím számos változást hozott az előző két jogcím meghirdetéséhez képest. A változások között szerepel, hogy nem volt gépberuházás és 75%-os támogatási lehetőség. Bár a gépre sokan igényeltek volna támogatást a viszonylag magas támogatási kulcs miatt (40-50-60%)</w:t>
      </w:r>
      <w:r w:rsidR="00211886" w:rsidRPr="00F64639">
        <w:t>,</w:t>
      </w:r>
      <w:r w:rsidRPr="00F64639">
        <w:t xml:space="preserve"> de a gépek kivétele a jogcímből megf</w:t>
      </w:r>
      <w:r w:rsidRPr="00F64639">
        <w:t>e</w:t>
      </w:r>
      <w:r w:rsidRPr="00F64639">
        <w:t xml:space="preserve">lelő kompromisszumot jelentett ahhoz, hogy minél több állattartó telep valósulhasson meg ugyanakkora támogatási forrásból. </w:t>
      </w:r>
    </w:p>
    <w:p w:rsidR="009A6693" w:rsidRPr="00F64639" w:rsidRDefault="009A6693" w:rsidP="009A6693">
      <w:pPr>
        <w:pStyle w:val="HUNNormal"/>
        <w:tabs>
          <w:tab w:val="left" w:pos="709"/>
        </w:tabs>
      </w:pPr>
      <w:r w:rsidRPr="00F64639">
        <w:t>További fontos változás, hogy a megvalósítási időszak bár nem rövidült, de kötötté vált, vagyis a kérelm</w:t>
      </w:r>
      <w:r w:rsidRPr="00F64639">
        <w:t>e</w:t>
      </w:r>
      <w:r w:rsidRPr="00F64639">
        <w:t>zőknek a határozat kézhezvételétől számított egy éven belül meg kellett kezdeni a beruházást, illetve a m</w:t>
      </w:r>
      <w:r w:rsidRPr="00F64639">
        <w:t>á</w:t>
      </w:r>
      <w:r w:rsidRPr="00F64639">
        <w:t xml:space="preserve">sodik év végéig a beruházásnak 50%-os készültségi szintet el kell érni. </w:t>
      </w:r>
    </w:p>
    <w:p w:rsidR="001E2EE0" w:rsidRDefault="001E2EE0" w:rsidP="009A6693">
      <w:pPr>
        <w:pStyle w:val="HUNNormal"/>
        <w:tabs>
          <w:tab w:val="left" w:pos="709"/>
        </w:tabs>
      </w:pPr>
      <w:r w:rsidRPr="00F64639">
        <w:lastRenderedPageBreak/>
        <w:t>A módosításokkal az ÁTK III jogcím megvalósítása reálisabb, célszerűbb irányba mozdulhat el.</w:t>
      </w:r>
    </w:p>
    <w:p w:rsidR="00CE279B" w:rsidRPr="00F64639" w:rsidRDefault="00C14BE4" w:rsidP="00E60698">
      <w:pPr>
        <w:pStyle w:val="HUNHeading4"/>
        <w:ind w:hanging="1728"/>
      </w:pPr>
      <w:r w:rsidRPr="00F64639">
        <w:t>Energiaültetvények telepítéséhez nyújtandó támogatások</w:t>
      </w:r>
    </w:p>
    <w:p w:rsidR="00B02B51" w:rsidRPr="00F64639" w:rsidRDefault="00B02B51" w:rsidP="00B02B51">
      <w:pPr>
        <w:pStyle w:val="HUNNormal"/>
      </w:pPr>
      <w:r w:rsidRPr="00F64639">
        <w:t xml:space="preserve">Az </w:t>
      </w:r>
      <w:r w:rsidRPr="00F64639">
        <w:rPr>
          <w:b/>
        </w:rPr>
        <w:t>Évelő fás szárú ültetvények</w:t>
      </w:r>
      <w:r w:rsidRPr="00F64639">
        <w:t xml:space="preserve"> telepítéséhez nyújtott támogatásra vonatkozó </w:t>
      </w:r>
      <w:r w:rsidR="00CD7CFC" w:rsidRPr="00F64639">
        <w:t>jogszabály</w:t>
      </w:r>
      <w:r w:rsidRPr="00F64639">
        <w:t xml:space="preserve"> a 72/2007. (VII.27.) FVM rendelet, amelynek a célja, hogy a mezőgazdasági területeken a fás szárú energiaültetvényekről szóló 71/2007. (IV. 14.) Korm. rendelet (a továbbiakban: engedélyezési R.) 2. § (2) bekezdés a) pontjában me</w:t>
      </w:r>
      <w:r w:rsidRPr="00F64639">
        <w:t>g</w:t>
      </w:r>
      <w:r w:rsidRPr="00F64639">
        <w:t xml:space="preserve">határozott </w:t>
      </w:r>
      <w:proofErr w:type="spellStart"/>
      <w:r w:rsidRPr="00F64639">
        <w:t>sarjaztatásos</w:t>
      </w:r>
      <w:proofErr w:type="spellEnd"/>
      <w:r w:rsidRPr="00F64639">
        <w:t xml:space="preserve"> fás szárú energiaültetvények telepítésével</w:t>
      </w:r>
    </w:p>
    <w:p w:rsidR="00B02B51" w:rsidRPr="00F64639" w:rsidRDefault="00B02B51" w:rsidP="00DF4BBF">
      <w:pPr>
        <w:pStyle w:val="HUNNormal"/>
        <w:numPr>
          <w:ilvl w:val="0"/>
          <w:numId w:val="17"/>
        </w:numPr>
      </w:pPr>
      <w:r w:rsidRPr="00F64639">
        <w:t>hozzájáruljon az élelmiszer-termékpályák stabilizálásához a nem élelmiszeripari növények te</w:t>
      </w:r>
      <w:r w:rsidRPr="00F64639">
        <w:t>r</w:t>
      </w:r>
      <w:r w:rsidRPr="00F64639">
        <w:t>mesztésére történő áttéréssel;</w:t>
      </w:r>
    </w:p>
    <w:p w:rsidR="00B02B51" w:rsidRPr="00F64639" w:rsidRDefault="00B02B51" w:rsidP="00DF4BBF">
      <w:pPr>
        <w:pStyle w:val="HUNNormal"/>
        <w:numPr>
          <w:ilvl w:val="0"/>
          <w:numId w:val="17"/>
        </w:numPr>
      </w:pPr>
      <w:r w:rsidRPr="00F64639">
        <w:t>alternatív, a termőhelyi adottságokhoz igazodó kultúraválasztási lehetőséget biztosítson;</w:t>
      </w:r>
    </w:p>
    <w:p w:rsidR="00B02B51" w:rsidRPr="00F64639" w:rsidRDefault="00B02B51" w:rsidP="00DF4BBF">
      <w:pPr>
        <w:pStyle w:val="HUNNormal"/>
        <w:numPr>
          <w:ilvl w:val="0"/>
          <w:numId w:val="17"/>
        </w:numPr>
      </w:pPr>
      <w:r w:rsidRPr="00F64639">
        <w:t>mérsékelje a szél- és vízerózió, illetve belvizek okozta károkat;</w:t>
      </w:r>
    </w:p>
    <w:p w:rsidR="00B02B51" w:rsidRPr="00F64639" w:rsidRDefault="00B02B51" w:rsidP="00DF4BBF">
      <w:pPr>
        <w:pStyle w:val="HUNNormal"/>
        <w:numPr>
          <w:ilvl w:val="0"/>
          <w:numId w:val="17"/>
        </w:numPr>
      </w:pPr>
      <w:r w:rsidRPr="00F64639">
        <w:t>az energetikai célú faanyag biztosításával hozzájáruljon a megújuló energiaforrások minél sz</w:t>
      </w:r>
      <w:r w:rsidRPr="00F64639">
        <w:t>é</w:t>
      </w:r>
      <w:r w:rsidRPr="00F64639">
        <w:t>lesebb körben való használatának elterjesztéséhez;</w:t>
      </w:r>
    </w:p>
    <w:p w:rsidR="00B02B51" w:rsidRPr="00F64639" w:rsidRDefault="00B02B51" w:rsidP="00DF4BBF">
      <w:pPr>
        <w:pStyle w:val="HUNNormal"/>
        <w:numPr>
          <w:ilvl w:val="0"/>
          <w:numId w:val="17"/>
        </w:numPr>
      </w:pPr>
      <w:r w:rsidRPr="00F64639">
        <w:t>mérsékelje az erdészeti potenciál túlzott energetikai célú használatára irányuló nyomást;</w:t>
      </w:r>
    </w:p>
    <w:p w:rsidR="00B02B51" w:rsidRPr="00F64639" w:rsidRDefault="00B02B51" w:rsidP="00DF4BBF">
      <w:pPr>
        <w:pStyle w:val="HUNNormal"/>
        <w:numPr>
          <w:ilvl w:val="0"/>
          <w:numId w:val="17"/>
        </w:numPr>
      </w:pPr>
      <w:r w:rsidRPr="00F64639">
        <w:t>a betakarítási, telepítési műveletekkel foglalkoztatási lehetőséget biztosítson a vidéken élő, alacsony képzettségű munkaerő részére;</w:t>
      </w:r>
    </w:p>
    <w:p w:rsidR="00B02B51" w:rsidRPr="00F64639" w:rsidRDefault="00B02B51" w:rsidP="00DF4BBF">
      <w:pPr>
        <w:pStyle w:val="HUNNormal"/>
        <w:numPr>
          <w:ilvl w:val="0"/>
          <w:numId w:val="17"/>
        </w:numPr>
      </w:pPr>
      <w:r w:rsidRPr="00F64639">
        <w:t>hozzájáruljon a vidéki lakosság életszínvonalának javításához.</w:t>
      </w:r>
    </w:p>
    <w:p w:rsidR="0051135A" w:rsidRPr="00F64639" w:rsidRDefault="0051135A" w:rsidP="0051135A">
      <w:pPr>
        <w:pStyle w:val="HUNNormal"/>
      </w:pPr>
      <w:r>
        <w:t xml:space="preserve">Az évelő lágy szárú energiaültetvények telepítéséhez nyújtandó támogatás részletes feltételeit a 71/2007 (VII. 27) FVM rendelet szabályozza </w:t>
      </w:r>
    </w:p>
    <w:p w:rsidR="007A3F98" w:rsidRPr="00F64639" w:rsidRDefault="007A3F98" w:rsidP="007A3F98">
      <w:pPr>
        <w:pStyle w:val="HUNNormal"/>
      </w:pPr>
      <w:r w:rsidRPr="00F64639">
        <w:t xml:space="preserve">A következő táblázat szemlélteti a jogcím főbb </w:t>
      </w:r>
      <w:proofErr w:type="gramStart"/>
      <w:r w:rsidRPr="00F64639">
        <w:t>adatait</w:t>
      </w:r>
      <w:r w:rsidRPr="00F64639">
        <w:rPr>
          <w:vertAlign w:val="superscript"/>
        </w:rPr>
        <w:footnoteReference w:id="71"/>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7A3F98"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7A3F98" w:rsidRPr="00F64639" w:rsidRDefault="00855320" w:rsidP="000B0E4C">
            <w:pPr>
              <w:jc w:val="center"/>
              <w:rPr>
                <w:b/>
                <w:bCs/>
                <w:iCs/>
                <w:color w:val="FFFFFF"/>
                <w:szCs w:val="22"/>
              </w:rPr>
            </w:pPr>
            <w:r w:rsidRPr="00F64639">
              <w:rPr>
                <w:b/>
                <w:bCs/>
                <w:iCs/>
                <w:color w:val="FFFFFF"/>
                <w:szCs w:val="22"/>
              </w:rPr>
              <w:t>Energiaültetvények</w:t>
            </w:r>
          </w:p>
        </w:tc>
      </w:tr>
      <w:tr w:rsidR="007A3F98"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7A3F98" w:rsidRPr="00F64639" w:rsidRDefault="00CD7CFC" w:rsidP="000B0E4C">
            <w:pPr>
              <w:jc w:val="center"/>
              <w:rPr>
                <w:rFonts w:cs="Arial"/>
                <w:sz w:val="18"/>
                <w:szCs w:val="18"/>
              </w:rPr>
            </w:pPr>
            <w:r w:rsidRPr="00F64639">
              <w:rPr>
                <w:iCs/>
                <w:szCs w:val="22"/>
              </w:rPr>
              <w:t>intézkedés szinten került megállapításra</w:t>
            </w:r>
          </w:p>
        </w:tc>
      </w:tr>
      <w:tr w:rsidR="007A3F98" w:rsidRPr="00F64639" w:rsidTr="000B0E4C">
        <w:tc>
          <w:tcPr>
            <w:tcW w:w="2778" w:type="pct"/>
            <w:tcBorders>
              <w:left w:val="single" w:sz="8" w:space="0" w:color="FFFFFF"/>
              <w:bottom w:val="nil"/>
              <w:right w:val="single" w:sz="24"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7A3F98" w:rsidRPr="00F64639" w:rsidRDefault="00B14EE4" w:rsidP="000B0E4C">
            <w:pPr>
              <w:jc w:val="center"/>
              <w:rPr>
                <w:iCs/>
                <w:szCs w:val="22"/>
              </w:rPr>
            </w:pPr>
            <w:r w:rsidRPr="00F64639">
              <w:rPr>
                <w:iCs/>
                <w:szCs w:val="22"/>
              </w:rPr>
              <w:t>72 db</w:t>
            </w:r>
          </w:p>
        </w:tc>
      </w:tr>
      <w:tr w:rsidR="007A3F98"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7A3F98" w:rsidRPr="00F64639" w:rsidRDefault="00B14EE4" w:rsidP="000B0E4C">
            <w:pPr>
              <w:jc w:val="center"/>
              <w:rPr>
                <w:iCs/>
                <w:szCs w:val="22"/>
              </w:rPr>
            </w:pPr>
            <w:r w:rsidRPr="00F64639">
              <w:rPr>
                <w:iCs/>
                <w:szCs w:val="22"/>
              </w:rPr>
              <w:t>79 db</w:t>
            </w:r>
          </w:p>
        </w:tc>
      </w:tr>
      <w:tr w:rsidR="007A3F98" w:rsidRPr="00F64639" w:rsidTr="000B0E4C">
        <w:tc>
          <w:tcPr>
            <w:tcW w:w="2778" w:type="pct"/>
            <w:tcBorders>
              <w:left w:val="single" w:sz="8" w:space="0" w:color="FFFFFF"/>
              <w:bottom w:val="nil"/>
              <w:right w:val="single" w:sz="24"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7A3F98" w:rsidRPr="00F64639" w:rsidRDefault="00B14EE4" w:rsidP="000B0E4C">
            <w:pPr>
              <w:jc w:val="center"/>
              <w:rPr>
                <w:iCs/>
                <w:szCs w:val="22"/>
              </w:rPr>
            </w:pPr>
            <w:r w:rsidRPr="00F64639">
              <w:rPr>
                <w:iCs/>
                <w:szCs w:val="22"/>
              </w:rPr>
              <w:t>10 db</w:t>
            </w:r>
          </w:p>
        </w:tc>
      </w:tr>
      <w:tr w:rsidR="007A3F98"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7A3F98" w:rsidRPr="00F64639" w:rsidRDefault="00B14EE4" w:rsidP="000B0E4C">
            <w:pPr>
              <w:jc w:val="center"/>
              <w:rPr>
                <w:iCs/>
                <w:szCs w:val="22"/>
              </w:rPr>
            </w:pPr>
            <w:r w:rsidRPr="00F64639">
              <w:rPr>
                <w:iCs/>
                <w:szCs w:val="22"/>
              </w:rPr>
              <w:t>487 097 391</w:t>
            </w:r>
            <w:r w:rsidR="007A3F98" w:rsidRPr="00F64639">
              <w:rPr>
                <w:iCs/>
                <w:szCs w:val="22"/>
              </w:rPr>
              <w:t xml:space="preserve"> Ft</w:t>
            </w:r>
            <w:r w:rsidR="007A3F98" w:rsidRPr="00F64639">
              <w:rPr>
                <w:rStyle w:val="FootnoteReference"/>
                <w:iCs/>
                <w:szCs w:val="22"/>
              </w:rPr>
              <w:footnoteReference w:id="72"/>
            </w:r>
          </w:p>
        </w:tc>
      </w:tr>
      <w:tr w:rsidR="007A3F98" w:rsidRPr="00F64639" w:rsidTr="000B0E4C">
        <w:tc>
          <w:tcPr>
            <w:tcW w:w="2778" w:type="pct"/>
            <w:tcBorders>
              <w:left w:val="single" w:sz="8" w:space="0" w:color="FFFFFF"/>
              <w:right w:val="single" w:sz="24" w:space="0" w:color="FFFFFF"/>
            </w:tcBorders>
            <w:shd w:val="clear" w:color="auto" w:fill="C0504D"/>
          </w:tcPr>
          <w:p w:rsidR="007A3F98" w:rsidRPr="00F64639" w:rsidRDefault="007A3F98"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7A3F98" w:rsidRPr="00F64639" w:rsidRDefault="00B14EE4" w:rsidP="000B0E4C">
            <w:pPr>
              <w:jc w:val="center"/>
              <w:rPr>
                <w:iCs/>
                <w:szCs w:val="22"/>
              </w:rPr>
            </w:pPr>
            <w:r w:rsidRPr="00F64639">
              <w:rPr>
                <w:color w:val="000000"/>
              </w:rPr>
              <w:t>103 543 112</w:t>
            </w:r>
            <w:r w:rsidR="007A3F98" w:rsidRPr="00F64639">
              <w:rPr>
                <w:iCs/>
                <w:szCs w:val="22"/>
              </w:rPr>
              <w:t xml:space="preserve"> Ft</w:t>
            </w:r>
            <w:r w:rsidR="007A3F98" w:rsidRPr="00F64639">
              <w:rPr>
                <w:rStyle w:val="FootnoteReference"/>
                <w:iCs/>
                <w:szCs w:val="22"/>
              </w:rPr>
              <w:footnoteReference w:id="73"/>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30</w:t>
      </w:r>
      <w:r w:rsidRPr="00F64639">
        <w:rPr>
          <w:color w:val="auto"/>
        </w:rPr>
        <w:fldChar w:fldCharType="end"/>
      </w:r>
      <w:r w:rsidR="00AB435B" w:rsidRPr="00F64639">
        <w:rPr>
          <w:color w:val="auto"/>
        </w:rPr>
        <w:t>. táblázat: A jogcím általános jellemzői</w:t>
      </w:r>
    </w:p>
    <w:p w:rsidR="007A3F98" w:rsidRDefault="00CD7CFC" w:rsidP="00B02B51">
      <w:pPr>
        <w:pStyle w:val="HUNNormal"/>
      </w:pPr>
      <w:r w:rsidRPr="00F64639">
        <w:t xml:space="preserve">A jogcímre 4 </w:t>
      </w:r>
      <w:proofErr w:type="spellStart"/>
      <w:r w:rsidRPr="00F64639">
        <w:t>EUME-t</w:t>
      </w:r>
      <w:proofErr w:type="spellEnd"/>
      <w:r w:rsidRPr="00F64639">
        <w:t xml:space="preserve"> meghaladó üzemméretű gazdaságok „pályázhattak” (t</w:t>
      </w:r>
      <w:r w:rsidR="00BB79FA" w:rsidRPr="00F64639">
        <w:t>ovábbá az induló vállalkozások), legalább 1 hektár méretű parcellával.</w:t>
      </w:r>
    </w:p>
    <w:p w:rsidR="00CD7CFC" w:rsidRPr="00F64639" w:rsidRDefault="00CD7CFC" w:rsidP="00B02B51">
      <w:pPr>
        <w:pStyle w:val="HUNNormal"/>
      </w:pPr>
      <w:r w:rsidRPr="00F64639">
        <w:lastRenderedPageBreak/>
        <w:t>A támogatás legfontosabb feltételei a következőek voltak:</w:t>
      </w:r>
    </w:p>
    <w:p w:rsidR="00CD7CFC" w:rsidRPr="00F64639" w:rsidRDefault="00CD7CFC" w:rsidP="00CD7CFC">
      <w:pPr>
        <w:pStyle w:val="HUNNormal"/>
        <w:numPr>
          <w:ilvl w:val="0"/>
          <w:numId w:val="36"/>
        </w:numPr>
      </w:pPr>
      <w:r w:rsidRPr="00F64639">
        <w:t>a beruházást a határozat kézhezvételétől számított 12 hónapon belül be kellett fejezni és a telep</w:t>
      </w:r>
      <w:r w:rsidRPr="00F64639">
        <w:t>í</w:t>
      </w:r>
      <w:r w:rsidRPr="00F64639">
        <w:t>téstől számított 5 évig fent kellett tartani;</w:t>
      </w:r>
    </w:p>
    <w:p w:rsidR="00CD7CFC" w:rsidRPr="00F64639" w:rsidRDefault="00CD7CFC" w:rsidP="00CD7CFC">
      <w:pPr>
        <w:pStyle w:val="HUNNormal"/>
        <w:numPr>
          <w:ilvl w:val="0"/>
          <w:numId w:val="36"/>
        </w:numPr>
      </w:pPr>
      <w:r w:rsidRPr="00F64639">
        <w:t>évelő lágy szárú telepítéshez agrár/kertész szakember által készített telepítési tervet, fás szárú es</w:t>
      </w:r>
      <w:r w:rsidRPr="00F64639">
        <w:t>e</w:t>
      </w:r>
      <w:r w:rsidRPr="00F64639">
        <w:t>tében jogerős telepítési engedélyt kellett a kérelemhez benyújtani;</w:t>
      </w:r>
    </w:p>
    <w:p w:rsidR="00CD7CFC" w:rsidRPr="00F64639" w:rsidRDefault="00CD7CFC" w:rsidP="00CD7CFC">
      <w:pPr>
        <w:pStyle w:val="HUNNormal"/>
        <w:numPr>
          <w:ilvl w:val="0"/>
          <w:numId w:val="36"/>
        </w:numPr>
      </w:pPr>
      <w:r w:rsidRPr="00F64639">
        <w:t xml:space="preserve">a kérelem benyújtásakor a termés </w:t>
      </w:r>
      <w:r w:rsidR="0051135A">
        <w:t xml:space="preserve">legalább 50%-os </w:t>
      </w:r>
      <w:r w:rsidRPr="00F64639">
        <w:t>értékesítését biztosító legalább 5 évre szóló előszerződéssel, szerződéssel kellett rendelkezni, vagy nyilatkozni kellett a saját felhasználásról;</w:t>
      </w:r>
    </w:p>
    <w:p w:rsidR="00CD7CFC" w:rsidRPr="00F64639" w:rsidRDefault="00BB79FA" w:rsidP="00CD7CFC">
      <w:pPr>
        <w:pStyle w:val="HUNNormal"/>
        <w:numPr>
          <w:ilvl w:val="0"/>
          <w:numId w:val="36"/>
        </w:numPr>
      </w:pPr>
      <w:r w:rsidRPr="00F64639">
        <w:t>15 millió</w:t>
      </w:r>
      <w:r w:rsidR="0022006B" w:rsidRPr="00F64639">
        <w:t xml:space="preserve"> Ft</w:t>
      </w:r>
      <w:r w:rsidRPr="00F64639">
        <w:t xml:space="preserve"> támogatási igény felett üzleti tervet is mellékelni kellett.</w:t>
      </w:r>
    </w:p>
    <w:p w:rsidR="00BB79FA" w:rsidRPr="00F64639" w:rsidRDefault="00BB79FA" w:rsidP="00B02B51">
      <w:pPr>
        <w:pStyle w:val="HUNNormal"/>
      </w:pPr>
      <w:r w:rsidRPr="00F64639">
        <w:t>Nem támogatta a jogcím a NATURA 2000 területeken történő telepítéseket.</w:t>
      </w:r>
    </w:p>
    <w:p w:rsidR="00BB79FA" w:rsidRPr="00F64639" w:rsidRDefault="00BB79FA" w:rsidP="00B02B51">
      <w:pPr>
        <w:pStyle w:val="HUNNormal"/>
      </w:pPr>
      <w:r w:rsidRPr="00F64639">
        <w:t xml:space="preserve">A támogatás mértéke alapesetben 40%-volt, amit a Fiatal gazdák, KAT területek esetében további 10%-kal növelt a jogcímrendelet. A támogatás összege ügyfelenként és évente 735 000 </w:t>
      </w:r>
      <w:r w:rsidR="0022006B" w:rsidRPr="00F64639">
        <w:t>EUR</w:t>
      </w:r>
      <w:r w:rsidRPr="00F64639">
        <w:t xml:space="preserve"> lehetett.</w:t>
      </w:r>
    </w:p>
    <w:p w:rsidR="00B02B51" w:rsidRPr="00F64639" w:rsidRDefault="00CD7CFC" w:rsidP="00B02B51">
      <w:pPr>
        <w:pStyle w:val="HUNNormal"/>
      </w:pPr>
      <w:r w:rsidRPr="00F64639">
        <w:t>A jogcím</w:t>
      </w:r>
      <w:r w:rsidR="00B02B51" w:rsidRPr="00F64639">
        <w:t xml:space="preserve"> 2007-ben nyílt meg, azóta öt alkalommal volt lehetőségük a gazdálkodóknak támogatási kérelem benyújtására. </w:t>
      </w:r>
      <w:r w:rsidR="00B02B51" w:rsidRPr="00F64639">
        <w:rPr>
          <w:b/>
        </w:rPr>
        <w:t>A benyújtott kérelmek száma azonban olyan alacsonynak bizonyult</w:t>
      </w:r>
      <w:r w:rsidR="00B02B51" w:rsidRPr="00F64639">
        <w:t>, hogy amelyek a támog</w:t>
      </w:r>
      <w:r w:rsidR="00B02B51" w:rsidRPr="00F64639">
        <w:t>a</w:t>
      </w:r>
      <w:r w:rsidR="00B02B51" w:rsidRPr="00F64639">
        <w:t>tási rendeletben megszabott feltételeket teljesítették, jóváhagyásra kerültek. Bár kidolgozásra került a po</w:t>
      </w:r>
      <w:r w:rsidR="00B02B51" w:rsidRPr="00F64639">
        <w:t>n</w:t>
      </w:r>
      <w:r w:rsidR="00B02B51" w:rsidRPr="00F64639">
        <w:t>tozási – rangsorolási rendszer</w:t>
      </w:r>
      <w:r w:rsidR="00C14BE4" w:rsidRPr="00F64639">
        <w:t>, minden jogosult kérelmező támogatást kapott.</w:t>
      </w:r>
    </w:p>
    <w:p w:rsidR="00B02B51" w:rsidRPr="00F64639" w:rsidRDefault="00B02B51" w:rsidP="00B02B51">
      <w:pPr>
        <w:pStyle w:val="HUNNormal"/>
      </w:pPr>
      <w:r w:rsidRPr="00F64639">
        <w:t>A támogatott ültetvények földrajzi helyzetének értékelése és a támogatott gazdálkodói kör értékelése során a fás és lágyszárú energetikai ültetvények összesített adatbázisa állt csak rendelkezésre. Ebben 79 db t</w:t>
      </w:r>
      <w:r w:rsidRPr="00F64639">
        <w:t>á</w:t>
      </w:r>
      <w:r w:rsidRPr="00F64639">
        <w:t>mogatott ültetvény szerepel (a támogatott lágy</w:t>
      </w:r>
      <w:r w:rsidR="00BB79FA" w:rsidRPr="00F64639">
        <w:t>s</w:t>
      </w:r>
      <w:r w:rsidRPr="00F64639">
        <w:t>zárú energetikai ültetvények száma 19).</w:t>
      </w:r>
    </w:p>
    <w:p w:rsidR="003D4453" w:rsidRPr="00F64639" w:rsidRDefault="00E133E8" w:rsidP="00B02B51">
      <w:pPr>
        <w:pStyle w:val="HUNNormal"/>
      </w:pPr>
      <w:r w:rsidRPr="00F64639">
        <w:t>Ami a jóváhagyott támogatási kérelmek megyei eloszlását illeti, megállapítható, hogy a legtöbb kérelem Jász-Nagykun-Szolnok megyéből érkezett (15,19%), míg a legkevesebb Budapestről és Győr-Moson-Sopron m</w:t>
      </w:r>
      <w:r w:rsidRPr="00F64639">
        <w:t>e</w:t>
      </w:r>
      <w:r w:rsidRPr="00F64639">
        <w:t>gyéből (1,27-1,27%-os aránnyal). Érdekességképp megemlítendő, hogy Baranya megyéből a kérelmek min</w:t>
      </w:r>
      <w:r w:rsidRPr="00F64639">
        <w:t>d</w:t>
      </w:r>
      <w:r w:rsidRPr="00F64639">
        <w:t>össze 6,33%-</w:t>
      </w:r>
      <w:proofErr w:type="gramStart"/>
      <w:r w:rsidRPr="00F64639">
        <w:t>a</w:t>
      </w:r>
      <w:proofErr w:type="gramEnd"/>
      <w:r w:rsidRPr="00F64639">
        <w:t xml:space="preserve"> érkezett. A kérelmek 48%-</w:t>
      </w:r>
      <w:proofErr w:type="gramStart"/>
      <w:r w:rsidRPr="00F64639">
        <w:t>a</w:t>
      </w:r>
      <w:proofErr w:type="gramEnd"/>
      <w:r w:rsidRPr="00F64639">
        <w:t xml:space="preserve"> érkezett hátrányos helyzetű, LHH vagy komplex LHH kistérségből (rendre 24%, 8% és 16%).</w:t>
      </w:r>
    </w:p>
    <w:p w:rsidR="00AC1D34" w:rsidRPr="00F64639" w:rsidRDefault="00AC1D34" w:rsidP="00AC1D34">
      <w:pPr>
        <w:pStyle w:val="HUNNormal"/>
      </w:pPr>
      <w:r w:rsidRPr="00F64639">
        <w:rPr>
          <w:b/>
        </w:rPr>
        <w:t>A támogatott kérelmek 55,7%-át magánszemélyek nyújtották be</w:t>
      </w:r>
      <w:r w:rsidRPr="00F64639">
        <w:t>. A szervezet közül kiemelkedő volt kis- és a közepes vállalatok aránya (rendre 57% és 20%).</w:t>
      </w:r>
    </w:p>
    <w:p w:rsidR="00AC1D34" w:rsidRPr="00F64639" w:rsidRDefault="00AC1D34" w:rsidP="00AC1D34">
      <w:pPr>
        <w:pStyle w:val="HUNNormal"/>
      </w:pPr>
      <w:r w:rsidRPr="00F64639">
        <w:t>A jogcím átlagos átfutási ideje rendkívül hosszú volt: egy támogatási kérelem elbírálásához átlagosan 317 naptári napra, míg egy kifizetési kérelem elbírálásához 280 naptári napra volt „szükség’”.</w:t>
      </w:r>
    </w:p>
    <w:p w:rsidR="00B02B51" w:rsidRPr="00F64639" w:rsidRDefault="00B02B51" w:rsidP="00B02B51">
      <w:pPr>
        <w:pStyle w:val="HUNNormal"/>
      </w:pPr>
      <w:r w:rsidRPr="00F64639">
        <w:rPr>
          <w:b/>
        </w:rPr>
        <w:t xml:space="preserve">A támogatott ültetvények esetében megállapítható, hogy egy-egy kérelemre átlagosan mintegy 6 </w:t>
      </w:r>
      <w:r w:rsidR="00855320" w:rsidRPr="00F64639">
        <w:rPr>
          <w:b/>
        </w:rPr>
        <w:t xml:space="preserve">m </w:t>
      </w:r>
      <w:r w:rsidRPr="00F64639">
        <w:rPr>
          <w:b/>
        </w:rPr>
        <w:t>Ft került kifizetésre</w:t>
      </w:r>
      <w:r w:rsidRPr="00F64639">
        <w:t xml:space="preserve">, ennél lényegesen magasabb értékeket találunk Baranya és Somogy megyék esetében, ahol az összeg meghaladja a 22 </w:t>
      </w:r>
      <w:r w:rsidR="00855320" w:rsidRPr="00F64639">
        <w:t xml:space="preserve">m </w:t>
      </w:r>
      <w:r w:rsidRPr="00F64639">
        <w:t>Ft-ot kérelmenként. Ezeken a helyeken tehát nagyobb ültetvények létrehozására is sor került (vélhetően az ott már meglévő felvásárlói piac okán). Jellemzően a támogatásban részesült m</w:t>
      </w:r>
      <w:r w:rsidRPr="00F64639">
        <w:t>a</w:t>
      </w:r>
      <w:r w:rsidRPr="00F64639">
        <w:t xml:space="preserve">gánszemélyek (44 db) átlagosan mintegy 3 </w:t>
      </w:r>
      <w:r w:rsidR="00855320" w:rsidRPr="00F64639">
        <w:t xml:space="preserve">m </w:t>
      </w:r>
      <w:r w:rsidRPr="00F64639">
        <w:t xml:space="preserve">Ft, a gazdálkodó szervezetek (35 db) átlagosan 10 </w:t>
      </w:r>
      <w:r w:rsidR="00855320" w:rsidRPr="00F64639">
        <w:t>m F</w:t>
      </w:r>
      <w:r w:rsidRPr="00F64639">
        <w:t>t tám</w:t>
      </w:r>
      <w:r w:rsidRPr="00F64639">
        <w:t>o</w:t>
      </w:r>
      <w:r w:rsidRPr="00F64639">
        <w:t>gatásban részesültek kérelmenként.</w:t>
      </w:r>
    </w:p>
    <w:p w:rsidR="00B02B51" w:rsidRDefault="00B02B51" w:rsidP="00B02B51">
      <w:pPr>
        <w:pStyle w:val="HUNNormal"/>
      </w:pPr>
      <w:r w:rsidRPr="00F64639">
        <w:t>A felhasznált források 87%-</w:t>
      </w:r>
      <w:proofErr w:type="gramStart"/>
      <w:r w:rsidRPr="00F64639">
        <w:t>a</w:t>
      </w:r>
      <w:proofErr w:type="gramEnd"/>
      <w:r w:rsidRPr="00F64639">
        <w:t xml:space="preserve"> az ültetvények telepítésére, 11%-a azok körbekerítésére, míg maradék 2%-a egyéb létesítmények létrehozására (szilárd burkolatú utak) került felhasználásra (forrás: interjú).</w:t>
      </w:r>
    </w:p>
    <w:p w:rsidR="000E02BE" w:rsidRDefault="000E02BE" w:rsidP="00B02B51">
      <w:pPr>
        <w:pStyle w:val="HUNNormal"/>
      </w:pPr>
    </w:p>
    <w:p w:rsidR="00E60698" w:rsidRDefault="00E60698" w:rsidP="00B02B51">
      <w:pPr>
        <w:pStyle w:val="HUNNormal"/>
      </w:pPr>
    </w:p>
    <w:p w:rsidR="00760396" w:rsidRPr="00F64639" w:rsidRDefault="00760396" w:rsidP="00B02B51">
      <w:pPr>
        <w:pStyle w:val="HUNNormal"/>
        <w:rPr>
          <w:b/>
        </w:rPr>
      </w:pPr>
      <w:r w:rsidRPr="00F64639">
        <w:rPr>
          <w:b/>
        </w:rPr>
        <w:t>Relevanciaelemzés</w:t>
      </w:r>
    </w:p>
    <w:p w:rsidR="00647626" w:rsidRDefault="00B02B51" w:rsidP="00B02B51">
      <w:pPr>
        <w:pStyle w:val="HUNNormal"/>
      </w:pPr>
      <w:r w:rsidRPr="00F64639">
        <w:lastRenderedPageBreak/>
        <w:t xml:space="preserve">Az </w:t>
      </w:r>
      <w:r w:rsidR="00760396" w:rsidRPr="00F64639">
        <w:t>ÚMVP</w:t>
      </w:r>
      <w:r w:rsidRPr="00F64639">
        <w:t xml:space="preserve"> által kitűzött célokkal szemben (49</w:t>
      </w:r>
      <w:r w:rsidR="00855320" w:rsidRPr="00F64639">
        <w:t xml:space="preserve"> </w:t>
      </w:r>
      <w:r w:rsidRPr="00F64639">
        <w:t xml:space="preserve">000 </w:t>
      </w:r>
      <w:r w:rsidR="00855320" w:rsidRPr="00F64639">
        <w:t>hektár</w:t>
      </w:r>
      <w:r w:rsidRPr="00F64639">
        <w:t xml:space="preserve"> energetikai célú ültetvény</w:t>
      </w:r>
      <w:r w:rsidR="00760396" w:rsidRPr="00F64639">
        <w:t>, output indikátor</w:t>
      </w:r>
      <w:r w:rsidRPr="00F64639">
        <w:t xml:space="preserve">) </w:t>
      </w:r>
      <w:r w:rsidRPr="00F64639">
        <w:rPr>
          <w:b/>
        </w:rPr>
        <w:t>min</w:t>
      </w:r>
      <w:r w:rsidRPr="00F64639">
        <w:rPr>
          <w:b/>
        </w:rPr>
        <w:t>d</w:t>
      </w:r>
      <w:r w:rsidRPr="00F64639">
        <w:rPr>
          <w:b/>
        </w:rPr>
        <w:t xml:space="preserve">össze 3000 </w:t>
      </w:r>
      <w:r w:rsidR="00855320" w:rsidRPr="00F64639">
        <w:rPr>
          <w:b/>
        </w:rPr>
        <w:t>hektár</w:t>
      </w:r>
      <w:r w:rsidRPr="00F64639">
        <w:rPr>
          <w:b/>
        </w:rPr>
        <w:t xml:space="preserve"> energetikai ültetvény létesítése részesült </w:t>
      </w:r>
      <w:proofErr w:type="gramStart"/>
      <w:r w:rsidRPr="00F64639">
        <w:rPr>
          <w:b/>
        </w:rPr>
        <w:t>támogatásban</w:t>
      </w:r>
      <w:r w:rsidR="006A7483" w:rsidRPr="00F64639">
        <w:rPr>
          <w:rStyle w:val="FootnoteReference"/>
          <w:b/>
        </w:rPr>
        <w:footnoteReference w:id="74"/>
      </w:r>
      <w:r w:rsidR="0050255F" w:rsidRPr="00F64639">
        <w:t>.</w:t>
      </w:r>
      <w:proofErr w:type="gramEnd"/>
    </w:p>
    <w:p w:rsidR="000E02BE" w:rsidRPr="00F64639" w:rsidRDefault="000E02BE" w:rsidP="00B02B51">
      <w:pPr>
        <w:pStyle w:val="HUNNormal"/>
      </w:pPr>
    </w:p>
    <w:p w:rsidR="00B02B51" w:rsidRPr="00F64639" w:rsidRDefault="00B02B51" w:rsidP="00B02B51">
      <w:pPr>
        <w:pStyle w:val="HUNNormal"/>
      </w:pPr>
      <w:r w:rsidRPr="00F64639">
        <w:t xml:space="preserve">Az </w:t>
      </w:r>
      <w:r w:rsidR="00760396" w:rsidRPr="00F64639">
        <w:t>ÚMVP</w:t>
      </w:r>
      <w:r w:rsidRPr="00F64639">
        <w:t xml:space="preserve"> által kitűzött célok tehát </w:t>
      </w:r>
      <w:r w:rsidR="00760396" w:rsidRPr="00F64639">
        <w:t>az eddigi projektek alapján</w:t>
      </w:r>
      <w:r w:rsidRPr="00F64639">
        <w:t xml:space="preserve"> a program időszak végéig sem fognak teljesü</w:t>
      </w:r>
      <w:r w:rsidRPr="00F64639">
        <w:t>l</w:t>
      </w:r>
      <w:r w:rsidRPr="00F64639">
        <w:t>ni. Ennek okai a következőkben foglalhatók össze:</w:t>
      </w:r>
      <w:r w:rsidR="00153BB8" w:rsidRPr="00F64639">
        <w:t xml:space="preserve"> </w:t>
      </w:r>
      <w:r w:rsidRPr="00F64639">
        <w:t>Az energetikai célú fás szárú ültetvények telepítése ho</w:t>
      </w:r>
      <w:r w:rsidRPr="00F64639">
        <w:t>s</w:t>
      </w:r>
      <w:r w:rsidRPr="00F64639">
        <w:t xml:space="preserve">szú távú beruházás, melynek kivitelezése előtt számos körülményt kell mérlegelnie a beruházónak. Egyik, és talán legfontosabb ezek közül a megtermelt javakat felvevő piac becslése, értékelése. Magyarországon egyes számítások szerint 20, mások szerint maximum </w:t>
      </w:r>
      <w:smartTag w:uri="urn:schemas-microsoft-com:office:smarttags" w:element="metricconverter">
        <w:smartTagPr>
          <w:attr w:name="ProductID" w:val="60 km"/>
        </w:smartTagPr>
        <w:r w:rsidRPr="00F64639">
          <w:t>60 km</w:t>
        </w:r>
      </w:smartTag>
      <w:r w:rsidRPr="00F64639">
        <w:t xml:space="preserve"> az a távolság, ameddig az energetikai céllal termelt biomassza gazdaságosan szállítható. Ez azt jelenti, hogy ebben a körben a termelőnek meg kellene találnia a felvevő partnert, akár önkormányzati kiserőművek, akár </w:t>
      </w:r>
      <w:proofErr w:type="spellStart"/>
      <w:r w:rsidRPr="00F64639">
        <w:t>pellettáló-</w:t>
      </w:r>
      <w:proofErr w:type="spellEnd"/>
      <w:r w:rsidRPr="00F64639">
        <w:t xml:space="preserve">, </w:t>
      </w:r>
      <w:proofErr w:type="spellStart"/>
      <w:r w:rsidRPr="00F64639">
        <w:t>brikettáló</w:t>
      </w:r>
      <w:proofErr w:type="spellEnd"/>
      <w:r w:rsidRPr="00F64639">
        <w:t xml:space="preserve"> üzemek formájában. </w:t>
      </w:r>
      <w:r w:rsidRPr="00F64639">
        <w:rPr>
          <w:b/>
        </w:rPr>
        <w:t>Sajnos azonban ezek a hasznosító oldali beruházások még nem, vagy csak nagyon kevés helyen valósultak meg, így az energetikai célú biomassza termelése egyelőre nem tűnik jó befektetésnek a gazdálkodók sz</w:t>
      </w:r>
      <w:r w:rsidRPr="00F64639">
        <w:rPr>
          <w:b/>
        </w:rPr>
        <w:t>á</w:t>
      </w:r>
      <w:r w:rsidRPr="00F64639">
        <w:rPr>
          <w:b/>
        </w:rPr>
        <w:t>mára</w:t>
      </w:r>
      <w:r w:rsidRPr="00F64639">
        <w:t>. Jól példázza a fentieket, hogy a támogatott területek jelentős része Baranya megyében, Pécsett val</w:t>
      </w:r>
      <w:r w:rsidRPr="00F64639">
        <w:t>ó</w:t>
      </w:r>
      <w:r w:rsidRPr="00F64639">
        <w:t xml:space="preserve">sult meg, ahol a pécsi Pannon </w:t>
      </w:r>
      <w:proofErr w:type="spellStart"/>
      <w:r w:rsidRPr="00F64639">
        <w:t>Power</w:t>
      </w:r>
      <w:proofErr w:type="spellEnd"/>
      <w:r w:rsidRPr="00F64639">
        <w:t xml:space="preserve"> Holding </w:t>
      </w:r>
      <w:proofErr w:type="spellStart"/>
      <w:r w:rsidRPr="00F64639">
        <w:t>Zrt</w:t>
      </w:r>
      <w:proofErr w:type="spellEnd"/>
      <w:r w:rsidRPr="00F64639">
        <w:t>. biztos értékesítési lehetőséget jelent a termelők számára.</w:t>
      </w:r>
    </w:p>
    <w:p w:rsidR="008D1B1F" w:rsidRPr="00F64639" w:rsidRDefault="00B02B51" w:rsidP="00CD7CFC">
      <w:pPr>
        <w:pStyle w:val="HUNNormal"/>
      </w:pPr>
      <w:r w:rsidRPr="00F64639">
        <w:t>Amennyiben ezek a lehetőségek másutt is rendelkezésre állnak majd, vélhetően nagyobb érdeklődés fog jelentkezni a gazdálkodók részéről a támogatás iránt.</w:t>
      </w:r>
    </w:p>
    <w:p w:rsidR="00760396" w:rsidRDefault="00760396" w:rsidP="00CD7CFC">
      <w:pPr>
        <w:pStyle w:val="HUNNormal"/>
      </w:pPr>
      <w:r w:rsidRPr="00F64639">
        <w:t>Hatáselemzést a támogatott projektek kis volumenére tekintettel egyelőre – markáns hatások hiányában - nem lehetett elvégezni.</w:t>
      </w:r>
    </w:p>
    <w:p w:rsidR="00B02B51" w:rsidRPr="00F64639" w:rsidRDefault="00F253F7" w:rsidP="00E60698">
      <w:pPr>
        <w:pStyle w:val="HUNHeading4"/>
        <w:ind w:hanging="1728"/>
      </w:pPr>
      <w:r w:rsidRPr="00F64639">
        <w:t>Ültetvények korszerűsítéséhez, telepítéséhez nyújtandó támogatás</w:t>
      </w:r>
    </w:p>
    <w:p w:rsidR="00E748FD" w:rsidRPr="00F64639" w:rsidRDefault="00BB79FA" w:rsidP="006A14D3">
      <w:pPr>
        <w:pStyle w:val="HUNNormal"/>
        <w:tabs>
          <w:tab w:val="left" w:pos="709"/>
        </w:tabs>
      </w:pPr>
      <w:r w:rsidRPr="00F64639">
        <w:t>A</w:t>
      </w:r>
      <w:r w:rsidR="00E748FD" w:rsidRPr="00F64639">
        <w:t xml:space="preserve"> (gyümölcs</w:t>
      </w:r>
      <w:proofErr w:type="gramStart"/>
      <w:r w:rsidR="00E748FD" w:rsidRPr="00F64639">
        <w:t>)ültetvények</w:t>
      </w:r>
      <w:proofErr w:type="gramEnd"/>
      <w:r w:rsidR="00E748FD" w:rsidRPr="00F64639">
        <w:t xml:space="preserve"> korszerűsítéséhez, telepítéséhez nyújtott támogatások jogcím célja ültetvények telepítésével, meglévő ültetvények korszerűsítésével, a fajtaszerkezet javításával a piaci igényekhez alka</w:t>
      </w:r>
      <w:r w:rsidR="00E748FD" w:rsidRPr="00F64639">
        <w:t>l</w:t>
      </w:r>
      <w:r w:rsidR="00E748FD" w:rsidRPr="00F64639">
        <w:t xml:space="preserve">mazkodni tudó hatékony és minőségi követelményeknek megfelelő </w:t>
      </w:r>
      <w:r w:rsidR="00AA22FF" w:rsidRPr="00F64639">
        <w:t>gazdálkodás</w:t>
      </w:r>
      <w:r w:rsidR="004D702D" w:rsidRPr="00F64639">
        <w:t xml:space="preserve"> alapjainak megteremtése</w:t>
      </w:r>
      <w:r w:rsidR="005D0F16" w:rsidRPr="00F64639">
        <w:t>.</w:t>
      </w:r>
    </w:p>
    <w:p w:rsidR="00E748FD" w:rsidRPr="00F64639" w:rsidRDefault="005D0F16" w:rsidP="006A14D3">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75"/>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5D0F16"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5D0F16" w:rsidRPr="00F64639" w:rsidRDefault="005D0F16" w:rsidP="000B0E4C">
            <w:pPr>
              <w:jc w:val="center"/>
              <w:rPr>
                <w:b/>
                <w:bCs/>
                <w:iCs/>
                <w:color w:val="FFFFFF"/>
                <w:szCs w:val="22"/>
              </w:rPr>
            </w:pPr>
            <w:r w:rsidRPr="00F64639">
              <w:rPr>
                <w:b/>
                <w:bCs/>
                <w:iCs/>
                <w:color w:val="FFFFFF"/>
                <w:szCs w:val="22"/>
              </w:rPr>
              <w:t>Ültetvények korszerűsítése</w:t>
            </w:r>
          </w:p>
        </w:tc>
      </w:tr>
      <w:tr w:rsidR="005D0F16"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5D0F16" w:rsidRPr="00F64639" w:rsidRDefault="00760396" w:rsidP="000B0E4C">
            <w:pPr>
              <w:jc w:val="center"/>
              <w:rPr>
                <w:rFonts w:cs="Arial"/>
                <w:sz w:val="18"/>
                <w:szCs w:val="18"/>
              </w:rPr>
            </w:pPr>
            <w:r w:rsidRPr="00F64639">
              <w:rPr>
                <w:iCs/>
                <w:szCs w:val="22"/>
              </w:rPr>
              <w:t>intézkedés szinten került megállapításra</w:t>
            </w:r>
          </w:p>
        </w:tc>
      </w:tr>
      <w:tr w:rsidR="005D0F16" w:rsidRPr="00F64639" w:rsidTr="000B0E4C">
        <w:tc>
          <w:tcPr>
            <w:tcW w:w="2778" w:type="pct"/>
            <w:tcBorders>
              <w:left w:val="single" w:sz="8" w:space="0" w:color="FFFFFF"/>
              <w:bottom w:val="nil"/>
              <w:right w:val="single" w:sz="24"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5D0F16" w:rsidRPr="00F64639" w:rsidRDefault="005D0F16" w:rsidP="000B0E4C">
            <w:pPr>
              <w:jc w:val="center"/>
              <w:rPr>
                <w:iCs/>
                <w:szCs w:val="22"/>
              </w:rPr>
            </w:pPr>
            <w:r w:rsidRPr="00F64639">
              <w:rPr>
                <w:iCs/>
                <w:szCs w:val="22"/>
              </w:rPr>
              <w:t>110 db</w:t>
            </w:r>
          </w:p>
        </w:tc>
      </w:tr>
      <w:tr w:rsidR="005D0F16"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5D0F16" w:rsidRPr="00F64639" w:rsidRDefault="005D0F16" w:rsidP="000B0E4C">
            <w:pPr>
              <w:jc w:val="center"/>
              <w:rPr>
                <w:iCs/>
                <w:szCs w:val="22"/>
              </w:rPr>
            </w:pPr>
            <w:r w:rsidRPr="00F64639">
              <w:rPr>
                <w:iCs/>
                <w:szCs w:val="22"/>
              </w:rPr>
              <w:t>110 db</w:t>
            </w:r>
          </w:p>
        </w:tc>
      </w:tr>
      <w:tr w:rsidR="005D0F16" w:rsidRPr="00F64639" w:rsidTr="000B0E4C">
        <w:tc>
          <w:tcPr>
            <w:tcW w:w="2778" w:type="pct"/>
            <w:tcBorders>
              <w:left w:val="single" w:sz="8" w:space="0" w:color="FFFFFF"/>
              <w:bottom w:val="nil"/>
              <w:right w:val="single" w:sz="24"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5D0F16" w:rsidRPr="00F64639" w:rsidRDefault="005D0F16" w:rsidP="000B0E4C">
            <w:pPr>
              <w:jc w:val="center"/>
              <w:rPr>
                <w:iCs/>
                <w:szCs w:val="22"/>
              </w:rPr>
            </w:pPr>
            <w:r w:rsidRPr="00F64639">
              <w:rPr>
                <w:iCs/>
                <w:szCs w:val="22"/>
              </w:rPr>
              <w:t>53 db</w:t>
            </w:r>
          </w:p>
        </w:tc>
      </w:tr>
      <w:tr w:rsidR="005D0F16"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5D0F16" w:rsidRPr="00F64639" w:rsidRDefault="005D0F16" w:rsidP="000B0E4C">
            <w:pPr>
              <w:jc w:val="center"/>
              <w:rPr>
                <w:iCs/>
                <w:szCs w:val="22"/>
              </w:rPr>
            </w:pPr>
            <w:r w:rsidRPr="00F64639">
              <w:rPr>
                <w:iCs/>
                <w:szCs w:val="22"/>
              </w:rPr>
              <w:t>1 945 113 954 Ft</w:t>
            </w:r>
            <w:r w:rsidRPr="00F64639">
              <w:rPr>
                <w:rStyle w:val="FootnoteReference"/>
                <w:iCs/>
                <w:szCs w:val="22"/>
              </w:rPr>
              <w:footnoteReference w:id="76"/>
            </w:r>
          </w:p>
        </w:tc>
      </w:tr>
      <w:tr w:rsidR="005D0F16" w:rsidRPr="00F64639" w:rsidTr="000B0E4C">
        <w:tc>
          <w:tcPr>
            <w:tcW w:w="2778" w:type="pct"/>
            <w:tcBorders>
              <w:left w:val="single" w:sz="8" w:space="0" w:color="FFFFFF"/>
              <w:right w:val="single" w:sz="24" w:space="0" w:color="FFFFFF"/>
            </w:tcBorders>
            <w:shd w:val="clear" w:color="auto" w:fill="C0504D"/>
          </w:tcPr>
          <w:p w:rsidR="005D0F16" w:rsidRPr="00F64639" w:rsidRDefault="005D0F16"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5D0F16" w:rsidRPr="00F64639" w:rsidRDefault="005D0F16" w:rsidP="000B0E4C">
            <w:pPr>
              <w:jc w:val="center"/>
              <w:rPr>
                <w:iCs/>
                <w:szCs w:val="22"/>
              </w:rPr>
            </w:pPr>
            <w:r w:rsidRPr="00F64639">
              <w:rPr>
                <w:iCs/>
                <w:szCs w:val="22"/>
              </w:rPr>
              <w:t>668 657 807 Ft</w:t>
            </w:r>
            <w:r w:rsidRPr="00F64639">
              <w:rPr>
                <w:rStyle w:val="FootnoteReference"/>
                <w:iCs/>
                <w:szCs w:val="22"/>
              </w:rPr>
              <w:footnoteReference w:id="77"/>
            </w:r>
          </w:p>
        </w:tc>
      </w:tr>
    </w:tbl>
    <w:p w:rsidR="00AB435B" w:rsidRPr="00F64639" w:rsidRDefault="00075A29" w:rsidP="00AB435B">
      <w:pPr>
        <w:pStyle w:val="Caption"/>
        <w:spacing w:before="60" w:after="120" w:line="280" w:lineRule="atLeast"/>
        <w:jc w:val="center"/>
        <w:rPr>
          <w:color w:val="auto"/>
        </w:rPr>
      </w:pPr>
      <w:r w:rsidRPr="00F64639">
        <w:rPr>
          <w:color w:val="auto"/>
        </w:rPr>
        <w:lastRenderedPageBreak/>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31</w:t>
      </w:r>
      <w:r w:rsidRPr="00F64639">
        <w:rPr>
          <w:color w:val="auto"/>
        </w:rPr>
        <w:fldChar w:fldCharType="end"/>
      </w:r>
      <w:r w:rsidR="00AB435B" w:rsidRPr="00F64639">
        <w:rPr>
          <w:color w:val="auto"/>
        </w:rPr>
        <w:t xml:space="preserve">. </w:t>
      </w:r>
      <w:proofErr w:type="gramStart"/>
      <w:r w:rsidR="00AB435B" w:rsidRPr="00F64639">
        <w:rPr>
          <w:color w:val="auto"/>
        </w:rPr>
        <w:t>táblázat</w:t>
      </w:r>
      <w:proofErr w:type="gramEnd"/>
      <w:r w:rsidR="00AB435B" w:rsidRPr="00F64639">
        <w:rPr>
          <w:color w:val="auto"/>
        </w:rPr>
        <w:t>: A jogcím általános jellemzői</w:t>
      </w:r>
    </w:p>
    <w:p w:rsidR="00E748FD" w:rsidRPr="00F64639" w:rsidRDefault="008071C2" w:rsidP="006A14D3">
      <w:pPr>
        <w:pStyle w:val="HUNNormal"/>
        <w:tabs>
          <w:tab w:val="left" w:pos="709"/>
        </w:tabs>
      </w:pPr>
      <w:r w:rsidRPr="00F64639">
        <w:t>A jogcímre a 4 EUME feletti gazdálkodók (további induló vállalkozások) nyújthattak be kérelmet, amennyiben a TEÁOR szerinti 01.1</w:t>
      </w:r>
      <w:proofErr w:type="gramStart"/>
      <w:r w:rsidRPr="00F64639">
        <w:t>.,</w:t>
      </w:r>
      <w:proofErr w:type="gramEnd"/>
      <w:r w:rsidRPr="00F64639">
        <w:t xml:space="preserve"> 01.3. tevékenység be volt jegyezve a vállalkozásukban.</w:t>
      </w:r>
    </w:p>
    <w:p w:rsidR="008071C2" w:rsidRPr="00F64639" w:rsidRDefault="008071C2" w:rsidP="006A14D3">
      <w:pPr>
        <w:pStyle w:val="HUNNormal"/>
        <w:tabs>
          <w:tab w:val="left" w:pos="709"/>
        </w:tabs>
      </w:pPr>
      <w:r w:rsidRPr="00F64639">
        <w:t>A</w:t>
      </w:r>
      <w:r w:rsidR="003A2C9E">
        <w:t>z első meghirdetési körben a</w:t>
      </w:r>
      <w:r w:rsidRPr="00F64639">
        <w:t xml:space="preserve"> támogatás feltételéül szabta a jogcím, hogy:</w:t>
      </w:r>
    </w:p>
    <w:p w:rsidR="008071C2" w:rsidRPr="00F64639" w:rsidRDefault="008071C2" w:rsidP="008071C2">
      <w:pPr>
        <w:pStyle w:val="HUNNormal"/>
        <w:numPr>
          <w:ilvl w:val="0"/>
          <w:numId w:val="37"/>
        </w:numPr>
        <w:tabs>
          <w:tab w:val="left" w:pos="709"/>
        </w:tabs>
      </w:pPr>
      <w:r w:rsidRPr="00F64639">
        <w:t>a fejlesztést az ügyfél 12 hónapon belül befejezi és a támogatási határozatban szereplő időpontig fenntartja</w:t>
      </w:r>
      <w:r w:rsidR="003A2C9E">
        <w:t xml:space="preserve"> (ez a második meghirdetési körben már 24 hónapra módosult)</w:t>
      </w:r>
      <w:r w:rsidRPr="00F64639">
        <w:t>;</w:t>
      </w:r>
    </w:p>
    <w:p w:rsidR="008071C2" w:rsidRPr="00F64639" w:rsidRDefault="008071C2" w:rsidP="008071C2">
      <w:pPr>
        <w:pStyle w:val="HUNNormal"/>
        <w:numPr>
          <w:ilvl w:val="0"/>
          <w:numId w:val="37"/>
        </w:numPr>
        <w:tabs>
          <w:tab w:val="left" w:pos="709"/>
        </w:tabs>
      </w:pPr>
      <w:r w:rsidRPr="00F64639">
        <w:t xml:space="preserve">alma, meggy, őszibarack, szilva és bodza fajok telepítése esetén a telepítendő terület 200%-ának megfelelő, szeder, köszméte, </w:t>
      </w:r>
      <w:proofErr w:type="spellStart"/>
      <w:r w:rsidRPr="00F64639">
        <w:t>pirosribiszke</w:t>
      </w:r>
      <w:proofErr w:type="spellEnd"/>
      <w:r w:rsidRPr="00F64639">
        <w:t xml:space="preserve"> fajok telepítése esetén a telepítendő terület 100%-ának megfelelő ültetvényt kell kivágni;</w:t>
      </w:r>
      <w:r w:rsidR="003A2C9E">
        <w:t xml:space="preserve"> (ezt a feltételt a második meghirdetési kör már nem tartalmazta)</w:t>
      </w:r>
    </w:p>
    <w:p w:rsidR="008071C2" w:rsidRPr="00F64639" w:rsidRDefault="008071C2" w:rsidP="008071C2">
      <w:pPr>
        <w:pStyle w:val="HUNNormal"/>
        <w:numPr>
          <w:ilvl w:val="0"/>
          <w:numId w:val="37"/>
        </w:numPr>
        <w:tabs>
          <w:tab w:val="left" w:pos="709"/>
        </w:tabs>
      </w:pPr>
      <w:r w:rsidRPr="00F64639">
        <w:t>az utolsó kifizetési kérelem előtt részt kell venni a jogcímhez kapcsolódó kötelező képzésen;</w:t>
      </w:r>
    </w:p>
    <w:p w:rsidR="008071C2" w:rsidRPr="00F64639" w:rsidRDefault="008071C2" w:rsidP="005D0F16">
      <w:pPr>
        <w:pStyle w:val="HUNNormal"/>
        <w:tabs>
          <w:tab w:val="left" w:pos="709"/>
        </w:tabs>
      </w:pPr>
      <w:r w:rsidRPr="00F64639">
        <w:t>A támogatás mértéke ügyfelenként és évenként legfeljebb 100 m Ft lehetett</w:t>
      </w:r>
      <w:r w:rsidR="002251E1" w:rsidRPr="00F64639">
        <w:t xml:space="preserve"> (egy területre az </w:t>
      </w:r>
      <w:proofErr w:type="spellStart"/>
      <w:r w:rsidR="002251E1" w:rsidRPr="00F64639">
        <w:t>ÚMVP-ben</w:t>
      </w:r>
      <w:proofErr w:type="spellEnd"/>
      <w:r w:rsidR="002251E1" w:rsidRPr="00F64639">
        <w:t xml:space="preserve"> csak egyszer)</w:t>
      </w:r>
      <w:r w:rsidRPr="00F64639">
        <w:t xml:space="preserve">, az összes </w:t>
      </w:r>
      <w:r w:rsidR="002251E1" w:rsidRPr="00F64639">
        <w:t>elszámolható kiadás 40%-ig (50% fiatal gazdák, illetve NATURA 2000 területről kérelmezők esetében, 60% pedig a két feltétel együttes teljesülése során).</w:t>
      </w:r>
    </w:p>
    <w:p w:rsidR="00AA22FF" w:rsidRPr="00F64639" w:rsidRDefault="00AA22FF" w:rsidP="00AA22FF">
      <w:pPr>
        <w:pStyle w:val="HUNNormal"/>
        <w:tabs>
          <w:tab w:val="left" w:pos="709"/>
        </w:tabs>
      </w:pPr>
      <w:r w:rsidRPr="00F64639">
        <w:t xml:space="preserve">A költségvetési szempontból kis konstrukciónak minősíthető jogcím első alkalommal meghirdetett benyújtási időszakában – 2008. tavasz -(a 75/2007. (VII. 27.) FVM rendelettel meghirdetett konstrukció) az ültetvény kivágás is támogatott volt, majd a </w:t>
      </w:r>
      <w:proofErr w:type="spellStart"/>
      <w:r w:rsidRPr="00F64639">
        <w:rPr>
          <w:i/>
        </w:rPr>
        <w:t>Fruit</w:t>
      </w:r>
      <w:r w:rsidR="0060734B" w:rsidRPr="00F64639">
        <w:rPr>
          <w:i/>
        </w:rPr>
        <w:t>V</w:t>
      </w:r>
      <w:r w:rsidRPr="00F64639">
        <w:rPr>
          <w:i/>
        </w:rPr>
        <w:t>eb</w:t>
      </w:r>
      <w:proofErr w:type="spellEnd"/>
      <w:r w:rsidRPr="00F64639">
        <w:t xml:space="preserve"> ajánlásai alapján átalakított konstrukcióban (35/2010. (IV.9.) FVM rendelettel meghirdetett konstrukció) - 2010. május-június - között már a korszerű, intenzív, víztakar</w:t>
      </w:r>
      <w:r w:rsidRPr="00F64639">
        <w:t>é</w:t>
      </w:r>
      <w:r w:rsidRPr="00F64639">
        <w:t xml:space="preserve">kos öntözőrendszerrel ellátott ültetvények létesítését, illetve korszerűsítését támogatta. Az első benyújtási körben az alma, meggy, dió és cseresznye ültetvények domináltak, míg a másodikban a meggy kizárásával az alma mellett a spárga és a szilva szerepelt leginkább a dióval és a cseresznyével együtt. </w:t>
      </w:r>
      <w:proofErr w:type="gramStart"/>
      <w:r w:rsidRPr="00F64639">
        <w:t>A támogatott támogatási kérelmek adatai</w:t>
      </w:r>
      <w:r w:rsidRPr="00F64639">
        <w:rPr>
          <w:rStyle w:val="FootnoteReference"/>
        </w:rPr>
        <w:footnoteReference w:id="78"/>
      </w:r>
      <w:r w:rsidRPr="00F64639">
        <w:t xml:space="preserve"> alapján – az első benyújtási időszakban - (a 110 kedvezményezett közül 98 kedvezményezett adatait kaptuk meg az </w:t>
      </w:r>
      <w:proofErr w:type="spellStart"/>
      <w:r w:rsidRPr="00F64639">
        <w:t>IIER-ből</w:t>
      </w:r>
      <w:proofErr w:type="spellEnd"/>
      <w:r w:rsidRPr="00F64639">
        <w:t xml:space="preserve">) összesen </w:t>
      </w:r>
      <w:r w:rsidRPr="00F64639">
        <w:rPr>
          <w:b/>
        </w:rPr>
        <w:t>1008,9 hektár ültetvény támogatása valósult meg</w:t>
      </w:r>
      <w:r w:rsidRPr="00F64639">
        <w:t>, melyből 334 ha alma, 184 ha meggy, 149 ha dió, 75 ha cseresznye, 72 ha sárgabarack, 53 ha szilva, 38 ha körte, 34 ha spárga, 31 ha termesztett bodza, 27 ha mogyoró, 8 ha csemegeszőlő és 2 ha földieper.</w:t>
      </w:r>
      <w:proofErr w:type="gramEnd"/>
    </w:p>
    <w:p w:rsidR="003A1D2E" w:rsidRPr="00F64639" w:rsidRDefault="003A1D2E" w:rsidP="005D0F16">
      <w:pPr>
        <w:pStyle w:val="HUNNormal"/>
        <w:tabs>
          <w:tab w:val="left" w:pos="709"/>
        </w:tabs>
      </w:pPr>
      <w:r w:rsidRPr="00F64639">
        <w:t xml:space="preserve">Az </w:t>
      </w:r>
      <w:proofErr w:type="spellStart"/>
      <w:r w:rsidRPr="00F64639">
        <w:t>IIER-ben</w:t>
      </w:r>
      <w:proofErr w:type="spellEnd"/>
      <w:r w:rsidRPr="00F64639">
        <w:t xml:space="preserve"> fellelhető e-monitoring adatok alapján megállapítható (a 110 kedvezményezett közül 10</w:t>
      </w:r>
      <w:r w:rsidR="00EF0705" w:rsidRPr="00F64639">
        <w:t>4</w:t>
      </w:r>
      <w:r w:rsidRPr="00F64639">
        <w:t>-en szolgáltattak monitoring adatot!), hogy az organikus gazdálkodási mód aránya elenyésző (7 kedvezmény</w:t>
      </w:r>
      <w:r w:rsidRPr="00F64639">
        <w:t>e</w:t>
      </w:r>
      <w:r w:rsidRPr="00F64639">
        <w:t>zett jelölte meg ezt a választ) a hagyományossal szemben (4</w:t>
      </w:r>
      <w:r w:rsidR="00EF0705" w:rsidRPr="00F64639">
        <w:t>3</w:t>
      </w:r>
      <w:r w:rsidRPr="00F64639">
        <w:t xml:space="preserve"> kedvezményezett jelölte meg ezt a választ – míg 54-en erre a kérdésre nem adtak választ). Ami a legjellemzőbb mezőgazdasági ágat illeti (10</w:t>
      </w:r>
      <w:r w:rsidR="00EF0705" w:rsidRPr="00F64639">
        <w:t>4</w:t>
      </w:r>
      <w:r w:rsidRPr="00F64639">
        <w:t xml:space="preserve"> kedve</w:t>
      </w:r>
      <w:r w:rsidRPr="00F64639">
        <w:t>z</w:t>
      </w:r>
      <w:r w:rsidRPr="00F64639">
        <w:t>ményezettből 53-an adtak választ), a támogatott kérelmek fele gyümölcsültetvényre</w:t>
      </w:r>
      <w:r w:rsidR="00AA22FF" w:rsidRPr="00F64639">
        <w:t xml:space="preserve"> vonatkozott.</w:t>
      </w:r>
    </w:p>
    <w:p w:rsidR="005D0F16" w:rsidRPr="00F64639" w:rsidRDefault="005D0F16" w:rsidP="005D0F16">
      <w:pPr>
        <w:pStyle w:val="HUNNormal"/>
        <w:tabs>
          <w:tab w:val="left" w:pos="709"/>
        </w:tabs>
      </w:pPr>
      <w:r w:rsidRPr="00F64639">
        <w:t>A területi megoszlást tekintve sajnálatos tény, hogy a Dunántúl megyéi aránytalanul rosszul szerepeltek, a támogatások zöme Szabolcs-Szatmár-Bereg</w:t>
      </w:r>
      <w:r w:rsidR="00FE2D89" w:rsidRPr="00F64639">
        <w:t xml:space="preserve"> (22%)</w:t>
      </w:r>
      <w:r w:rsidRPr="00F64639">
        <w:t>, Heves</w:t>
      </w:r>
      <w:r w:rsidR="00FE2D89" w:rsidRPr="00F64639">
        <w:t xml:space="preserve"> (6%)</w:t>
      </w:r>
      <w:r w:rsidRPr="00F64639">
        <w:t xml:space="preserve"> és Bács-Kiskun</w:t>
      </w:r>
      <w:r w:rsidR="00FE2D89" w:rsidRPr="00F64639">
        <w:t xml:space="preserve"> (21%)</w:t>
      </w:r>
      <w:r w:rsidRPr="00F64639">
        <w:t xml:space="preserve"> megyékbe koncentr</w:t>
      </w:r>
      <w:r w:rsidRPr="00F64639">
        <w:t>á</w:t>
      </w:r>
      <w:r w:rsidRPr="00F64639">
        <w:t>lódott</w:t>
      </w:r>
      <w:r w:rsidR="00FE2D89" w:rsidRPr="00F64639">
        <w:t xml:space="preserve"> (pest megye adati is imponáló – 10%)</w:t>
      </w:r>
      <w:r w:rsidRPr="00F64639">
        <w:t>.</w:t>
      </w:r>
      <w:r w:rsidR="00FE2D89" w:rsidRPr="00F64639">
        <w:t xml:space="preserve"> Megemlítendő, hogy a jóváhagyott támogatási kérelmek 52%-a hátrányos helyzetű, LHH vagy komplex LHH kistérségből származik (rendre: 26%, 7% és 18%).</w:t>
      </w:r>
    </w:p>
    <w:p w:rsidR="00FE2D89" w:rsidRDefault="00FE2D89" w:rsidP="005D0F16">
      <w:pPr>
        <w:pStyle w:val="HUNNormal"/>
        <w:tabs>
          <w:tab w:val="left" w:pos="709"/>
        </w:tabs>
      </w:pPr>
      <w:r w:rsidRPr="00F64639">
        <w:t xml:space="preserve">Ami a támogatások </w:t>
      </w:r>
      <w:r w:rsidR="00D06A31" w:rsidRPr="00F64639">
        <w:t>szervezeti megoszlását illeti, a jóváhagyott támogatási kérelmek többsége (75,5%-a) magánszemélyektől érkezett. A szervezetek közül 52%-ot képviseltek a középvállalkozások, 30%-ot a nag</w:t>
      </w:r>
      <w:r w:rsidR="00D06A31" w:rsidRPr="00F64639">
        <w:t>y</w:t>
      </w:r>
      <w:r w:rsidR="00D06A31" w:rsidRPr="00F64639">
        <w:t>vállalkozások.</w:t>
      </w:r>
    </w:p>
    <w:p w:rsidR="00301E88" w:rsidRPr="00F64639" w:rsidRDefault="00301E88" w:rsidP="005D0F16">
      <w:pPr>
        <w:pStyle w:val="HUNNormal"/>
        <w:tabs>
          <w:tab w:val="left" w:pos="709"/>
        </w:tabs>
      </w:pPr>
    </w:p>
    <w:p w:rsidR="00760396" w:rsidRPr="00F64639" w:rsidRDefault="00760396" w:rsidP="00AA22FF">
      <w:pPr>
        <w:pStyle w:val="HUNNormal"/>
        <w:tabs>
          <w:tab w:val="left" w:pos="709"/>
        </w:tabs>
        <w:rPr>
          <w:b/>
        </w:rPr>
      </w:pPr>
      <w:r w:rsidRPr="00F64639">
        <w:rPr>
          <w:b/>
        </w:rPr>
        <w:t>Relevanciaelemzés</w:t>
      </w:r>
    </w:p>
    <w:p w:rsidR="006074D4" w:rsidRPr="00F64639" w:rsidRDefault="00760396" w:rsidP="00AA22FF">
      <w:pPr>
        <w:pStyle w:val="HUNNormal"/>
        <w:tabs>
          <w:tab w:val="left" w:pos="709"/>
        </w:tabs>
      </w:pPr>
      <w:r w:rsidRPr="00F64639">
        <w:lastRenderedPageBreak/>
        <w:t>A jogcím által biztosított fejlesztés releváns</w:t>
      </w:r>
      <w:r w:rsidR="00D67305" w:rsidRPr="00F64639">
        <w:t>nak tekinthető az intézkedés és az ÚMVP céljai tekintetében is. A gyümölcstermesztés fejlesztése a piaci keresletre tekintettel, diverzifikációs jellege miatt és munkaerő-intenzitása okán is kiemelt célja a magyar agárpolitikának.</w:t>
      </w:r>
    </w:p>
    <w:p w:rsidR="00760396" w:rsidRPr="00F64639" w:rsidRDefault="00760396" w:rsidP="00760396">
      <w:pPr>
        <w:pStyle w:val="HUNNormal"/>
      </w:pPr>
      <w:r w:rsidRPr="00F64639">
        <w:rPr>
          <w:b/>
        </w:rPr>
        <w:t>Hatáselemzést</w:t>
      </w:r>
      <w:r w:rsidRPr="00F64639">
        <w:t xml:space="preserve"> a támogatott projektek kis volumenére tekintettel egyelőre – markáns hatások hiányában - nem lehetett elvégezni.</w:t>
      </w:r>
    </w:p>
    <w:p w:rsidR="00301E88" w:rsidRDefault="00301E88" w:rsidP="00760396">
      <w:pPr>
        <w:pStyle w:val="HUNNormal"/>
        <w:rPr>
          <w:b/>
        </w:rPr>
      </w:pPr>
    </w:p>
    <w:p w:rsidR="00D67305" w:rsidRPr="00F64639" w:rsidRDefault="00D67305" w:rsidP="00760396">
      <w:pPr>
        <w:pStyle w:val="HUNNormal"/>
        <w:rPr>
          <w:b/>
        </w:rPr>
      </w:pPr>
      <w:r w:rsidRPr="00F64639">
        <w:rPr>
          <w:b/>
        </w:rPr>
        <w:t>Hatékonyságelemzés</w:t>
      </w:r>
    </w:p>
    <w:p w:rsidR="00D67305" w:rsidRPr="00F64639" w:rsidRDefault="00D67305" w:rsidP="00D67305">
      <w:pPr>
        <w:pStyle w:val="HUNNormal"/>
        <w:tabs>
          <w:tab w:val="left" w:pos="709"/>
        </w:tabs>
      </w:pPr>
      <w:r w:rsidRPr="00F64639">
        <w:t>Problémaként jelentkezett a rendeletek bonyolultsága, valamint a kérelemhez szükséges igazolásokat kiadó intézmények közötti információáramlás hiánya miatti felesleges adminisztrációs terhek (az ügyfélnek kellett igazolásokat beszereznie olyan esetekben, ahol a vonatkozó adatok az ellenőrző intézmény számára hozz</w:t>
      </w:r>
      <w:r w:rsidRPr="00F64639">
        <w:t>á</w:t>
      </w:r>
      <w:r w:rsidRPr="00F64639">
        <w:t xml:space="preserve">férhetők, pl.: egyéni vállalkozók mezőgazdasági tevékenységének igazolása, </w:t>
      </w:r>
      <w:proofErr w:type="spellStart"/>
      <w:r w:rsidRPr="00F64639">
        <w:t>stb</w:t>
      </w:r>
      <w:proofErr w:type="spellEnd"/>
      <w:r w:rsidRPr="00F64639">
        <w:t xml:space="preserve">). A beérkezett támogatási kérelmek elbírálásának átfutási ideje rendkívül hosszú volt (293 naptári nap!), míg a kifizetési kérelmeké 97 naptári nap. </w:t>
      </w:r>
    </w:p>
    <w:p w:rsidR="00D67305" w:rsidRPr="00F64639" w:rsidRDefault="00D67305" w:rsidP="00D67305">
      <w:pPr>
        <w:pStyle w:val="HUNNormal"/>
        <w:tabs>
          <w:tab w:val="left" w:pos="709"/>
        </w:tabs>
      </w:pPr>
      <w:r w:rsidRPr="00F64639">
        <w:t>Több más jogcímhez hasonlóan,</w:t>
      </w:r>
      <w:r w:rsidR="00D32CE0" w:rsidRPr="00F64639">
        <w:t xml:space="preserve"> </w:t>
      </w:r>
      <w:proofErr w:type="gramStart"/>
      <w:r w:rsidR="00D32CE0" w:rsidRPr="00F64639">
        <w:t>ezen</w:t>
      </w:r>
      <w:proofErr w:type="gramEnd"/>
      <w:r w:rsidR="00D32CE0" w:rsidRPr="00F64639">
        <w:t xml:space="preserve"> jogcímmel kapcsolatban is problémákat okozott</w:t>
      </w:r>
      <w:r w:rsidRPr="00F64639">
        <w:t xml:space="preserve">, </w:t>
      </w:r>
      <w:r w:rsidR="00D32CE0" w:rsidRPr="00F64639">
        <w:t>hogy</w:t>
      </w:r>
      <w:r w:rsidRPr="00F64639">
        <w:t xml:space="preserve"> a helyrajzi sz</w:t>
      </w:r>
      <w:r w:rsidRPr="00F64639">
        <w:t>á</w:t>
      </w:r>
      <w:r w:rsidRPr="00F64639">
        <w:t>m</w:t>
      </w:r>
      <w:r w:rsidR="00D32CE0" w:rsidRPr="00F64639">
        <w:t xml:space="preserve">ot nem lehetett </w:t>
      </w:r>
      <w:r w:rsidRPr="00F64639">
        <w:t>a MEPAR rendszer</w:t>
      </w:r>
      <w:r w:rsidR="00D32CE0" w:rsidRPr="00F64639">
        <w:t>ben megjeleníteni</w:t>
      </w:r>
      <w:r w:rsidRPr="00F64639">
        <w:t>, ugyanakkor a területre vonatkozó adatokat nem l</w:t>
      </w:r>
      <w:r w:rsidRPr="00F64639">
        <w:t>e</w:t>
      </w:r>
      <w:r w:rsidRPr="00F64639">
        <w:t>hetett hiány pótolni a kérelemkezelési eljárásban.</w:t>
      </w:r>
      <w:r w:rsidR="00D32CE0" w:rsidRPr="00F64639">
        <w:t xml:space="preserve"> Ez évtől ezt a problémát már sikerült kiküszöbölni.</w:t>
      </w:r>
    </w:p>
    <w:p w:rsidR="00BA3419" w:rsidRPr="00F64639" w:rsidRDefault="00BA3419" w:rsidP="00E60698">
      <w:pPr>
        <w:pStyle w:val="HUNHeading3"/>
        <w:ind w:hanging="1224"/>
      </w:pPr>
      <w:bookmarkStart w:id="16" w:name="_Toc280786852"/>
      <w:r w:rsidRPr="00F64639">
        <w:t>Erdők gazdasági értékének javítása (122. intézkedés)</w:t>
      </w:r>
      <w:bookmarkEnd w:id="16"/>
    </w:p>
    <w:p w:rsidR="00F60608" w:rsidRPr="00F64639" w:rsidRDefault="009171C8" w:rsidP="00F60608">
      <w:pPr>
        <w:pStyle w:val="HUNNormal"/>
        <w:tabs>
          <w:tab w:val="left" w:pos="709"/>
        </w:tabs>
      </w:pPr>
      <w:r w:rsidRPr="00F64639">
        <w:t>Az Erdők gazdasági értékének javítása intézkedés</w:t>
      </w:r>
      <w:r w:rsidR="00F60608" w:rsidRPr="00F64639">
        <w:t xml:space="preserve"> </w:t>
      </w:r>
      <w:r w:rsidRPr="00F64639">
        <w:t>Erdészeti célra használt géppark fejlesztéséhez és korsz</w:t>
      </w:r>
      <w:r w:rsidRPr="00F64639">
        <w:t>e</w:t>
      </w:r>
      <w:r w:rsidRPr="00F64639">
        <w:t xml:space="preserve">rűsítéséhez nyújtandó támogatás jogcímének </w:t>
      </w:r>
      <w:r w:rsidR="00F60608" w:rsidRPr="00F64639">
        <w:t>célja</w:t>
      </w:r>
      <w:r w:rsidRPr="00F64639">
        <w:t xml:space="preserve"> az erdészeti ágazat </w:t>
      </w:r>
      <w:r w:rsidRPr="00F64639">
        <w:rPr>
          <w:b/>
        </w:rPr>
        <w:t>technológiai</w:t>
      </w:r>
      <w:r w:rsidRPr="00F64639">
        <w:t xml:space="preserve"> színvonalának </w:t>
      </w:r>
      <w:r w:rsidRPr="00F64639">
        <w:rPr>
          <w:b/>
        </w:rPr>
        <w:t>javítása</w:t>
      </w:r>
      <w:r w:rsidRPr="00F64639">
        <w:t xml:space="preserve">, a </w:t>
      </w:r>
      <w:r w:rsidRPr="00F64639">
        <w:rPr>
          <w:b/>
        </w:rPr>
        <w:t>géppark</w:t>
      </w:r>
      <w:r w:rsidRPr="00F64639">
        <w:t xml:space="preserve"> </w:t>
      </w:r>
      <w:r w:rsidRPr="00F64639">
        <w:rPr>
          <w:b/>
        </w:rPr>
        <w:t>fejlesztése</w:t>
      </w:r>
      <w:r w:rsidRPr="00F64639">
        <w:t xml:space="preserve"> és korszerűsítése az első kiviteltől a fakitermelési szakaszig, beleértve a fakitermelés gépeit is</w:t>
      </w:r>
      <w:r w:rsidR="00F60608" w:rsidRPr="00F64639">
        <w:t>.</w:t>
      </w:r>
    </w:p>
    <w:p w:rsidR="009171C8" w:rsidRPr="00F64639" w:rsidRDefault="009171C8" w:rsidP="009171C8">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79"/>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9171C8"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9171C8" w:rsidRPr="00F64639" w:rsidRDefault="009171C8" w:rsidP="000B0E4C">
            <w:pPr>
              <w:jc w:val="center"/>
              <w:rPr>
                <w:b/>
                <w:bCs/>
                <w:iCs/>
                <w:color w:val="FFFFFF"/>
                <w:szCs w:val="22"/>
              </w:rPr>
            </w:pPr>
            <w:r w:rsidRPr="00F64639">
              <w:rPr>
                <w:b/>
                <w:bCs/>
                <w:iCs/>
                <w:color w:val="FFFFFF"/>
                <w:szCs w:val="22"/>
              </w:rPr>
              <w:t>Erdészeti gépbeszerzés</w:t>
            </w:r>
          </w:p>
        </w:tc>
      </w:tr>
      <w:tr w:rsidR="009171C8"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9171C8" w:rsidRPr="00F64639" w:rsidRDefault="009171C8" w:rsidP="000B0E4C">
            <w:pPr>
              <w:jc w:val="center"/>
              <w:rPr>
                <w:rFonts w:cs="Arial"/>
                <w:sz w:val="18"/>
                <w:szCs w:val="18"/>
              </w:rPr>
            </w:pPr>
            <w:r w:rsidRPr="00F64639">
              <w:rPr>
                <w:iCs/>
                <w:szCs w:val="22"/>
              </w:rPr>
              <w:t xml:space="preserve">27 124 988 </w:t>
            </w:r>
            <w:r w:rsidR="0022006B" w:rsidRPr="00F64639">
              <w:rPr>
                <w:iCs/>
                <w:szCs w:val="22"/>
              </w:rPr>
              <w:t>EUR</w:t>
            </w:r>
          </w:p>
        </w:tc>
      </w:tr>
      <w:tr w:rsidR="009171C8" w:rsidRPr="00F64639" w:rsidTr="000B0E4C">
        <w:tc>
          <w:tcPr>
            <w:tcW w:w="2778" w:type="pct"/>
            <w:tcBorders>
              <w:left w:val="single" w:sz="8" w:space="0" w:color="FFFFFF"/>
              <w:bottom w:val="nil"/>
              <w:right w:val="single" w:sz="24"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9171C8" w:rsidRPr="00F64639" w:rsidRDefault="009171C8" w:rsidP="000B0E4C">
            <w:pPr>
              <w:jc w:val="center"/>
              <w:rPr>
                <w:iCs/>
                <w:szCs w:val="22"/>
              </w:rPr>
            </w:pPr>
            <w:r w:rsidRPr="00F64639">
              <w:rPr>
                <w:iCs/>
                <w:szCs w:val="22"/>
              </w:rPr>
              <w:t>139 db</w:t>
            </w:r>
          </w:p>
        </w:tc>
      </w:tr>
      <w:tr w:rsidR="009171C8"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9171C8" w:rsidRPr="00F64639" w:rsidRDefault="009171C8" w:rsidP="000B0E4C">
            <w:pPr>
              <w:jc w:val="center"/>
              <w:rPr>
                <w:iCs/>
                <w:szCs w:val="22"/>
              </w:rPr>
            </w:pPr>
            <w:r w:rsidRPr="00F64639">
              <w:rPr>
                <w:iCs/>
                <w:szCs w:val="22"/>
              </w:rPr>
              <w:t>139 db</w:t>
            </w:r>
          </w:p>
        </w:tc>
      </w:tr>
      <w:tr w:rsidR="009171C8" w:rsidRPr="00F64639" w:rsidTr="000B0E4C">
        <w:tc>
          <w:tcPr>
            <w:tcW w:w="2778" w:type="pct"/>
            <w:tcBorders>
              <w:left w:val="single" w:sz="8" w:space="0" w:color="FFFFFF"/>
              <w:bottom w:val="nil"/>
              <w:right w:val="single" w:sz="24"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9171C8" w:rsidRPr="00F64639" w:rsidRDefault="009171C8" w:rsidP="000B0E4C">
            <w:pPr>
              <w:jc w:val="center"/>
              <w:rPr>
                <w:iCs/>
                <w:szCs w:val="22"/>
              </w:rPr>
            </w:pPr>
            <w:r w:rsidRPr="00F64639">
              <w:rPr>
                <w:iCs/>
                <w:szCs w:val="22"/>
              </w:rPr>
              <w:t>96 db</w:t>
            </w:r>
          </w:p>
        </w:tc>
      </w:tr>
      <w:tr w:rsidR="009171C8"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9171C8" w:rsidRPr="00F64639" w:rsidRDefault="009171C8" w:rsidP="000B0E4C">
            <w:pPr>
              <w:jc w:val="center"/>
              <w:rPr>
                <w:iCs/>
                <w:szCs w:val="22"/>
              </w:rPr>
            </w:pPr>
            <w:r w:rsidRPr="00F64639">
              <w:rPr>
                <w:iCs/>
                <w:szCs w:val="22"/>
              </w:rPr>
              <w:t xml:space="preserve">4 586 432 127 Ft </w:t>
            </w:r>
            <w:r w:rsidRPr="00F64639">
              <w:rPr>
                <w:rStyle w:val="FootnoteReference"/>
                <w:iCs/>
                <w:szCs w:val="22"/>
              </w:rPr>
              <w:footnoteReference w:id="80"/>
            </w:r>
          </w:p>
        </w:tc>
      </w:tr>
      <w:tr w:rsidR="009171C8" w:rsidRPr="00F64639" w:rsidTr="000B0E4C">
        <w:tc>
          <w:tcPr>
            <w:tcW w:w="2778" w:type="pct"/>
            <w:tcBorders>
              <w:left w:val="single" w:sz="8" w:space="0" w:color="FFFFFF"/>
              <w:right w:val="single" w:sz="24" w:space="0" w:color="FFFFFF"/>
            </w:tcBorders>
            <w:shd w:val="clear" w:color="auto" w:fill="C0504D"/>
          </w:tcPr>
          <w:p w:rsidR="009171C8" w:rsidRPr="00F64639" w:rsidRDefault="009171C8"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9171C8" w:rsidRPr="00F64639" w:rsidRDefault="009171C8" w:rsidP="000B0E4C">
            <w:pPr>
              <w:jc w:val="center"/>
              <w:rPr>
                <w:iCs/>
                <w:szCs w:val="22"/>
              </w:rPr>
            </w:pPr>
            <w:r w:rsidRPr="00F64639">
              <w:rPr>
                <w:iCs/>
                <w:szCs w:val="22"/>
              </w:rPr>
              <w:t xml:space="preserve">6 375 703 </w:t>
            </w:r>
            <w:r w:rsidR="0022006B" w:rsidRPr="00F64639">
              <w:rPr>
                <w:iCs/>
                <w:szCs w:val="22"/>
              </w:rPr>
              <w:t>EUR</w:t>
            </w:r>
            <w:r w:rsidRPr="00F64639">
              <w:rPr>
                <w:iCs/>
                <w:szCs w:val="22"/>
              </w:rPr>
              <w:t xml:space="preserve"> </w:t>
            </w:r>
            <w:r w:rsidRPr="00F64639">
              <w:rPr>
                <w:rStyle w:val="FootnoteReference"/>
                <w:iCs/>
                <w:szCs w:val="22"/>
              </w:rPr>
              <w:footnoteReference w:id="81"/>
            </w:r>
          </w:p>
        </w:tc>
      </w:tr>
    </w:tbl>
    <w:p w:rsidR="00AB435B"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32</w:t>
      </w:r>
      <w:r w:rsidRPr="00F64639">
        <w:rPr>
          <w:color w:val="auto"/>
        </w:rPr>
        <w:fldChar w:fldCharType="end"/>
      </w:r>
      <w:r w:rsidR="00AB435B" w:rsidRPr="00F64639">
        <w:rPr>
          <w:color w:val="auto"/>
        </w:rPr>
        <w:t>. táblázat: A jogcím általános jellemzői</w:t>
      </w:r>
    </w:p>
    <w:p w:rsidR="007B5ECF" w:rsidRPr="00F64639" w:rsidRDefault="007B5ECF" w:rsidP="007B5ECF">
      <w:pPr>
        <w:pStyle w:val="HUNNormal"/>
      </w:pPr>
      <w:r w:rsidRPr="00F64639">
        <w:t>Az Új Magyarország Vidékfejlesztési Program az intézkedésen belül két tevékenységet irányzott elő:</w:t>
      </w:r>
    </w:p>
    <w:p w:rsidR="007B5ECF" w:rsidRPr="00F64639" w:rsidRDefault="007B5ECF" w:rsidP="00DF4BBF">
      <w:pPr>
        <w:pStyle w:val="HUNNormal"/>
        <w:numPr>
          <w:ilvl w:val="0"/>
          <w:numId w:val="15"/>
        </w:numPr>
      </w:pPr>
      <w:r w:rsidRPr="00F64639">
        <w:lastRenderedPageBreak/>
        <w:t>A fakitermelési szakaszig használatos erdészeti célú gépek vásárlása</w:t>
      </w:r>
      <w:r w:rsidR="00921F6B" w:rsidRPr="00F64639">
        <w:t>;</w:t>
      </w:r>
    </w:p>
    <w:p w:rsidR="007B5ECF" w:rsidRPr="00F64639" w:rsidRDefault="007B5ECF" w:rsidP="00DF4BBF">
      <w:pPr>
        <w:pStyle w:val="HUNNormal"/>
        <w:numPr>
          <w:ilvl w:val="0"/>
          <w:numId w:val="15"/>
        </w:numPr>
      </w:pPr>
      <w:r w:rsidRPr="00F64639">
        <w:t>A fiatal erdőállományok támogatása az első gyérítésig az erdőgazdálkodási tervek alapján</w:t>
      </w:r>
      <w:r w:rsidR="00921F6B" w:rsidRPr="00F64639">
        <w:t>.</w:t>
      </w:r>
    </w:p>
    <w:p w:rsidR="007B5ECF" w:rsidRPr="00F64639" w:rsidRDefault="007B5ECF" w:rsidP="007B5ECF">
      <w:pPr>
        <w:pStyle w:val="HUNNormal"/>
      </w:pPr>
      <w:r w:rsidRPr="00F64639">
        <w:t xml:space="preserve">A fentiek közül jelen értékelés készítéséig </w:t>
      </w:r>
      <w:r w:rsidRPr="00F64639">
        <w:rPr>
          <w:b/>
        </w:rPr>
        <w:t>csak az első tevékenység támogatása valósult meg</w:t>
      </w:r>
      <w:r w:rsidRPr="00F64639">
        <w:t xml:space="preserve"> (144/2008 (XI.7.) FVM r</w:t>
      </w:r>
      <w:r w:rsidR="00921F6B" w:rsidRPr="00F64639">
        <w:t>endelet</w:t>
      </w:r>
      <w:r w:rsidRPr="00F64639">
        <w:t>), így az értékelés értelemszerűen az erdészeti célú gépek vásárlása tevékenységre v</w:t>
      </w:r>
      <w:r w:rsidRPr="00F64639">
        <w:t>o</w:t>
      </w:r>
      <w:r w:rsidRPr="00F64639">
        <w:t>natkozik. Az intézkedés célja az erdészeti célra használt géppark fejlesztése és korszerűsítése, ideértve t</w:t>
      </w:r>
      <w:r w:rsidRPr="00F64639">
        <w:t>o</w:t>
      </w:r>
      <w:r w:rsidRPr="00F64639">
        <w:t>vábbi gépek és berendezések vásárlását is.</w:t>
      </w:r>
    </w:p>
    <w:p w:rsidR="007B5ECF" w:rsidRPr="00F64639" w:rsidRDefault="007B5ECF" w:rsidP="007B5ECF">
      <w:pPr>
        <w:pStyle w:val="HUNNormal"/>
      </w:pPr>
      <w:r w:rsidRPr="00F64639">
        <w:t>A támogatási jogcím első megnyitásának időszakában (2008.11.15</w:t>
      </w:r>
      <w:r w:rsidR="00921F6B" w:rsidRPr="00F64639">
        <w:t>.</w:t>
      </w:r>
      <w:r w:rsidRPr="00F64639">
        <w:t>-</w:t>
      </w:r>
      <w:r w:rsidR="00921F6B" w:rsidRPr="00F64639">
        <w:t>2008.</w:t>
      </w:r>
      <w:r w:rsidRPr="00F64639">
        <w:t>12.31</w:t>
      </w:r>
      <w:r w:rsidR="00921F6B" w:rsidRPr="00F64639">
        <w:t>.</w:t>
      </w:r>
      <w:r w:rsidRPr="00F64639">
        <w:t>) 3</w:t>
      </w:r>
      <w:r w:rsidR="000E02BE">
        <w:t>3</w:t>
      </w:r>
      <w:r w:rsidRPr="00F64639">
        <w:t>3 db kérelemben ö</w:t>
      </w:r>
      <w:r w:rsidRPr="00F64639">
        <w:t>s</w:t>
      </w:r>
      <w:r w:rsidR="00FC4461" w:rsidRPr="00F64639">
        <w:t xml:space="preserve">szesen 8,4 </w:t>
      </w:r>
      <w:proofErr w:type="spellStart"/>
      <w:r w:rsidR="00FC4461" w:rsidRPr="00F64639">
        <w:t>m</w:t>
      </w:r>
      <w:r w:rsidRPr="00F64639">
        <w:t>rd</w:t>
      </w:r>
      <w:proofErr w:type="spellEnd"/>
      <w:r w:rsidRPr="00F64639">
        <w:t xml:space="preserve"> Ft támogatási igény jelentkezett a gazdálkodók részéről. A második időszakban (2010.06.01</w:t>
      </w:r>
      <w:r w:rsidR="00921F6B" w:rsidRPr="00F64639">
        <w:t>.</w:t>
      </w:r>
      <w:r w:rsidRPr="00F64639">
        <w:t>–</w:t>
      </w:r>
      <w:r w:rsidR="00921F6B" w:rsidRPr="00F64639">
        <w:t>2010.</w:t>
      </w:r>
      <w:r w:rsidRPr="00F64639">
        <w:t>06.30</w:t>
      </w:r>
      <w:r w:rsidR="00921F6B" w:rsidRPr="00F64639">
        <w:t>.</w:t>
      </w:r>
      <w:r w:rsidRPr="00F64639">
        <w:t>) 19</w:t>
      </w:r>
      <w:r w:rsidR="000E02BE">
        <w:t>4</w:t>
      </w:r>
      <w:r w:rsidRPr="00F64639">
        <w:t xml:space="preserve"> kérelemben, összesen 1,</w:t>
      </w:r>
      <w:r w:rsidR="000E02BE">
        <w:t>7</w:t>
      </w:r>
      <w:r w:rsidRPr="00F64639">
        <w:t xml:space="preserve"> </w:t>
      </w:r>
      <w:proofErr w:type="spellStart"/>
      <w:r w:rsidR="00FC4461" w:rsidRPr="00F64639">
        <w:t>m</w:t>
      </w:r>
      <w:r w:rsidRPr="00F64639">
        <w:t>rd</w:t>
      </w:r>
      <w:proofErr w:type="spellEnd"/>
      <w:r w:rsidRPr="00F64639">
        <w:t xml:space="preserve"> Ft a beérkezett igény. A csökkenés hátt</w:t>
      </w:r>
      <w:r w:rsidRPr="00F64639">
        <w:t>e</w:t>
      </w:r>
      <w:r w:rsidRPr="00F64639">
        <w:t xml:space="preserve">rében a támogatási rendelet módosítása (mezőgazdasági célú gépbeszerzések lehetőségének kizárása), valamint a valós igények csökkenése állt. </w:t>
      </w:r>
    </w:p>
    <w:p w:rsidR="007B5ECF" w:rsidRPr="00F64639" w:rsidRDefault="007B5ECF" w:rsidP="007B5ECF">
      <w:pPr>
        <w:pStyle w:val="HUNNormal"/>
      </w:pPr>
      <w:r w:rsidRPr="00F64639">
        <w:t>Jelen értékelésig a jogcím első megnyitásakor beérkezett kérelmek közül 139 db kérelem került jóváhagyá</w:t>
      </w:r>
      <w:r w:rsidRPr="00F64639">
        <w:t>s</w:t>
      </w:r>
      <w:r w:rsidRPr="00F64639">
        <w:t>ra, 4,5 Mrd Ft értékben (támogatott kérelmenként átlagosan mi</w:t>
      </w:r>
      <w:r w:rsidR="00FC4461" w:rsidRPr="00F64639">
        <w:t xml:space="preserve">ntegy 32 m </w:t>
      </w:r>
      <w:r w:rsidRPr="00F64639">
        <w:t>Ft). A jóváhagyott kérelmek me</w:t>
      </w:r>
      <w:r w:rsidRPr="00F64639">
        <w:t>g</w:t>
      </w:r>
      <w:r w:rsidRPr="00F64639">
        <w:t xml:space="preserve">oszlása </w:t>
      </w:r>
      <w:r w:rsidRPr="00F64639">
        <w:rPr>
          <w:b/>
        </w:rPr>
        <w:t>alapján jellemzően gazdasági társaságok voltak az intézkedés kedvezményezettjei</w:t>
      </w:r>
      <w:r w:rsidRPr="00F64639">
        <w:t xml:space="preserve">, de viszonylag magas (31,38%) a támogatásban részesült magánszemélyek száma is. A támogatott </w:t>
      </w:r>
      <w:r w:rsidR="00EF6DC9" w:rsidRPr="00F64639">
        <w:t>gazdasági társaságok közül 50</w:t>
      </w:r>
      <w:r w:rsidRPr="00F64639">
        <w:t>% a korlát</w:t>
      </w:r>
      <w:r w:rsidR="00EF6DC9" w:rsidRPr="00F64639">
        <w:t>olt felelősségű társaságok, 9</w:t>
      </w:r>
      <w:r w:rsidRPr="00F64639">
        <w:t xml:space="preserve">% a betéti társaságok, 4% a részvénytársaságok és 1,24% a szövetkezetek aránya. A kifejezetten erdőgazdálkodási célú tevékenységre alapított </w:t>
      </w:r>
      <w:proofErr w:type="spellStart"/>
      <w:r w:rsidRPr="00F64639">
        <w:t>erdőbirtokossági</w:t>
      </w:r>
      <w:proofErr w:type="spellEnd"/>
      <w:r w:rsidRPr="00F64639">
        <w:t xml:space="preserve"> társ</w:t>
      </w:r>
      <w:r w:rsidRPr="00F64639">
        <w:t>u</w:t>
      </w:r>
      <w:r w:rsidRPr="00F64639">
        <w:t>latok aránya mindössze 3,78%, az egyéb társulások 0,13%, a közkereseti társaságok 0,15%-os arányt ké</w:t>
      </w:r>
      <w:r w:rsidRPr="00F64639">
        <w:t>p</w:t>
      </w:r>
      <w:r w:rsidRPr="00F64639">
        <w:t>viselnek a támogatottak között.</w:t>
      </w:r>
    </w:p>
    <w:p w:rsidR="007B5ECF" w:rsidRPr="00F64639" w:rsidRDefault="007B5ECF" w:rsidP="007B5ECF">
      <w:pPr>
        <w:pStyle w:val="HUNNormal"/>
      </w:pPr>
      <w:r w:rsidRPr="00F64639">
        <w:t>A jogcím első megnyitásakor jóváhagyott kérelmek összesen 427 db erőgép és 1658 db munkagép besze</w:t>
      </w:r>
      <w:r w:rsidRPr="00F64639">
        <w:t>r</w:t>
      </w:r>
      <w:r w:rsidRPr="00F64639">
        <w:t>zését tették lehetővé.</w:t>
      </w:r>
    </w:p>
    <w:p w:rsidR="00394B16" w:rsidRDefault="007B5ECF" w:rsidP="007B5ECF">
      <w:pPr>
        <w:pStyle w:val="HUNNormal"/>
      </w:pPr>
      <w:r w:rsidRPr="00F64639">
        <w:t xml:space="preserve">A támogatás </w:t>
      </w:r>
      <w:r w:rsidRPr="00F64639">
        <w:rPr>
          <w:b/>
        </w:rPr>
        <w:t>megyénkénti megoszlása</w:t>
      </w:r>
      <w:r w:rsidRPr="00F64639">
        <w:t xml:space="preserve"> jól jelzi az előzőekben bemutatott problémákat, hiszen például Sz</w:t>
      </w:r>
      <w:r w:rsidRPr="00F64639">
        <w:t>a</w:t>
      </w:r>
      <w:r w:rsidRPr="00F64639">
        <w:t>bolcs-Szatmár-Bereg megyében, ahol az ország erdőterületeinek mindössze 6,24%-a található, a jóváhagyott támogatások aránya közel 12% volt. Hasonló aránytalanság tapasztalható Borsod-Abaúj-Zemplén megye és kisebb mértékben Veszprém megye esetében is</w:t>
      </w:r>
      <w:r w:rsidR="00394B16" w:rsidRPr="00F64639">
        <w:rPr>
          <w:rStyle w:val="FootnoteReference"/>
        </w:rPr>
        <w:footnoteReference w:id="82"/>
      </w:r>
      <w:r w:rsidRPr="00F64639">
        <w:t>.</w:t>
      </w:r>
      <w:r w:rsidR="00CD50A9" w:rsidRPr="00F64639">
        <w:t xml:space="preserve"> </w:t>
      </w:r>
      <w:proofErr w:type="gramStart"/>
      <w:r w:rsidR="00CD50A9" w:rsidRPr="00F64639">
        <w:t>A</w:t>
      </w:r>
      <w:proofErr w:type="gramEnd"/>
      <w:r w:rsidR="00CD50A9" w:rsidRPr="00F64639">
        <w:t xml:space="preserve"> jóváhagyott támogatási kérelmek </w:t>
      </w:r>
      <w:r w:rsidR="00CD50A9" w:rsidRPr="00F64639">
        <w:rPr>
          <w:b/>
        </w:rPr>
        <w:t>kistérségi megoszlása</w:t>
      </w:r>
      <w:r w:rsidR="00CD50A9" w:rsidRPr="00F64639">
        <w:t xml:space="preserve"> alapján megállapítható, hogy hátrányos, LHH vagy komplex LHH kistérségekből származott a kérelmek </w:t>
      </w:r>
      <w:r w:rsidR="00A24E24" w:rsidRPr="00F64639">
        <w:t>64%-a (rendre 28%, 9% és 27%).</w:t>
      </w:r>
    </w:p>
    <w:p w:rsidR="00E60698" w:rsidRDefault="00E60698" w:rsidP="007B5ECF">
      <w:pPr>
        <w:pStyle w:val="HUNNormal"/>
      </w:pPr>
    </w:p>
    <w:p w:rsidR="00E60698" w:rsidRDefault="00E60698" w:rsidP="007B5ECF">
      <w:pPr>
        <w:pStyle w:val="HUNNormal"/>
      </w:pPr>
    </w:p>
    <w:p w:rsidR="00E60698" w:rsidRPr="00F64639" w:rsidRDefault="00E60698" w:rsidP="007B5ECF">
      <w:pPr>
        <w:pStyle w:val="HUNNormal"/>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325"/>
        <w:gridCol w:w="2326"/>
        <w:gridCol w:w="2326"/>
        <w:gridCol w:w="2326"/>
      </w:tblGrid>
      <w:tr w:rsidR="00394B16" w:rsidRPr="00F64639" w:rsidTr="000B0E4C">
        <w:trPr>
          <w:tblHeader/>
        </w:trPr>
        <w:tc>
          <w:tcPr>
            <w:tcW w:w="2325"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394B16" w:rsidRPr="00F64639" w:rsidRDefault="00394B16" w:rsidP="000B0E4C">
            <w:pPr>
              <w:jc w:val="both"/>
              <w:rPr>
                <w:b/>
                <w:bCs/>
                <w:iCs/>
                <w:color w:val="FFFFFF"/>
                <w:szCs w:val="22"/>
              </w:rPr>
            </w:pPr>
            <w:r w:rsidRPr="00F64639">
              <w:rPr>
                <w:b/>
                <w:bCs/>
                <w:iCs/>
                <w:color w:val="FFFFFF"/>
                <w:szCs w:val="22"/>
              </w:rPr>
              <w:t>Megye</w:t>
            </w:r>
          </w:p>
        </w:tc>
        <w:tc>
          <w:tcPr>
            <w:tcW w:w="2326"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394B16" w:rsidRPr="00F64639" w:rsidRDefault="00394B16" w:rsidP="000B0E4C">
            <w:pPr>
              <w:jc w:val="both"/>
              <w:rPr>
                <w:b/>
                <w:bCs/>
                <w:iCs/>
                <w:color w:val="FFFFFF"/>
                <w:szCs w:val="22"/>
              </w:rPr>
            </w:pPr>
            <w:r w:rsidRPr="00F64639">
              <w:rPr>
                <w:b/>
                <w:bCs/>
                <w:iCs/>
                <w:color w:val="FFFFFF"/>
                <w:szCs w:val="22"/>
              </w:rPr>
              <w:t>Hazánk erdőterületének megoszlása (%)</w:t>
            </w:r>
          </w:p>
        </w:tc>
        <w:tc>
          <w:tcPr>
            <w:tcW w:w="2326"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394B16" w:rsidRPr="00F64639" w:rsidRDefault="00394B16" w:rsidP="000B0E4C">
            <w:pPr>
              <w:jc w:val="both"/>
              <w:rPr>
                <w:b/>
                <w:bCs/>
                <w:iCs/>
                <w:color w:val="FFFFFF"/>
                <w:szCs w:val="22"/>
              </w:rPr>
            </w:pPr>
            <w:r w:rsidRPr="00F64639">
              <w:rPr>
                <w:b/>
                <w:bCs/>
                <w:iCs/>
                <w:color w:val="FFFFFF"/>
                <w:szCs w:val="22"/>
              </w:rPr>
              <w:t>Igényelt támogatás megoszlása (%)</w:t>
            </w:r>
          </w:p>
        </w:tc>
        <w:tc>
          <w:tcPr>
            <w:tcW w:w="2326"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394B16" w:rsidRPr="00F64639" w:rsidRDefault="00394B16" w:rsidP="000B0E4C">
            <w:pPr>
              <w:jc w:val="both"/>
              <w:rPr>
                <w:b/>
                <w:bCs/>
                <w:iCs/>
                <w:color w:val="FFFFFF"/>
                <w:szCs w:val="22"/>
              </w:rPr>
            </w:pPr>
            <w:r w:rsidRPr="00F64639">
              <w:rPr>
                <w:b/>
                <w:bCs/>
                <w:iCs/>
                <w:color w:val="FFFFFF"/>
                <w:szCs w:val="22"/>
              </w:rPr>
              <w:t xml:space="preserve">Jóváhagyott támogatás </w:t>
            </w:r>
            <w:proofErr w:type="gramStart"/>
            <w:r w:rsidRPr="00F64639">
              <w:rPr>
                <w:b/>
                <w:bCs/>
                <w:iCs/>
                <w:color w:val="FFFFFF"/>
                <w:szCs w:val="22"/>
              </w:rPr>
              <w:t>megoszlása(</w:t>
            </w:r>
            <w:proofErr w:type="gramEnd"/>
            <w:r w:rsidRPr="00F64639">
              <w:rPr>
                <w:b/>
                <w:bCs/>
                <w:iCs/>
                <w:color w:val="FFFFFF"/>
                <w:szCs w:val="22"/>
              </w:rPr>
              <w:t>%)</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Bács-Kiskun</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8,95</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8,28</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9,71</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Baranya</w:t>
            </w:r>
          </w:p>
        </w:tc>
        <w:tc>
          <w:tcPr>
            <w:tcW w:w="2326" w:type="dxa"/>
            <w:shd w:val="clear" w:color="auto" w:fill="EFD3D2"/>
            <w:vAlign w:val="bottom"/>
          </w:tcPr>
          <w:p w:rsidR="00394B16" w:rsidRPr="00F64639" w:rsidRDefault="00394B16" w:rsidP="000B0E4C">
            <w:pPr>
              <w:jc w:val="center"/>
              <w:rPr>
                <w:iCs/>
              </w:rPr>
            </w:pPr>
            <w:r w:rsidRPr="00F64639">
              <w:rPr>
                <w:iCs/>
              </w:rPr>
              <w:t>5,83</w:t>
            </w:r>
          </w:p>
        </w:tc>
        <w:tc>
          <w:tcPr>
            <w:tcW w:w="2326" w:type="dxa"/>
            <w:shd w:val="clear" w:color="auto" w:fill="EFD3D2"/>
            <w:vAlign w:val="bottom"/>
          </w:tcPr>
          <w:p w:rsidR="00394B16" w:rsidRPr="00F64639" w:rsidRDefault="00394B16" w:rsidP="000B0E4C">
            <w:pPr>
              <w:jc w:val="center"/>
              <w:rPr>
                <w:iCs/>
              </w:rPr>
            </w:pPr>
            <w:r w:rsidRPr="00F64639">
              <w:rPr>
                <w:iCs/>
              </w:rPr>
              <w:t>6,31</w:t>
            </w:r>
          </w:p>
        </w:tc>
        <w:tc>
          <w:tcPr>
            <w:tcW w:w="2326" w:type="dxa"/>
            <w:shd w:val="clear" w:color="auto" w:fill="EFD3D2"/>
            <w:vAlign w:val="bottom"/>
          </w:tcPr>
          <w:p w:rsidR="00394B16" w:rsidRPr="00F64639" w:rsidRDefault="00394B16" w:rsidP="000B0E4C">
            <w:pPr>
              <w:jc w:val="center"/>
              <w:rPr>
                <w:iCs/>
              </w:rPr>
            </w:pPr>
            <w:r w:rsidRPr="00F64639">
              <w:rPr>
                <w:iCs/>
              </w:rPr>
              <w:t>7,30</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Békés</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1,32</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0,09</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0,08</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Borsod-Abaúj-Zemplén</w:t>
            </w:r>
          </w:p>
        </w:tc>
        <w:tc>
          <w:tcPr>
            <w:tcW w:w="2326" w:type="dxa"/>
            <w:shd w:val="clear" w:color="auto" w:fill="EFD3D2"/>
            <w:vAlign w:val="bottom"/>
          </w:tcPr>
          <w:p w:rsidR="00394B16" w:rsidRPr="00F64639" w:rsidRDefault="00394B16" w:rsidP="000B0E4C">
            <w:pPr>
              <w:jc w:val="center"/>
              <w:rPr>
                <w:iCs/>
              </w:rPr>
            </w:pPr>
            <w:r w:rsidRPr="00F64639">
              <w:rPr>
                <w:iCs/>
              </w:rPr>
              <w:t>10,77</w:t>
            </w:r>
          </w:p>
        </w:tc>
        <w:tc>
          <w:tcPr>
            <w:tcW w:w="2326" w:type="dxa"/>
            <w:shd w:val="clear" w:color="auto" w:fill="EFD3D2"/>
            <w:vAlign w:val="bottom"/>
          </w:tcPr>
          <w:p w:rsidR="00394B16" w:rsidRPr="00F64639" w:rsidRDefault="00394B16" w:rsidP="000B0E4C">
            <w:pPr>
              <w:jc w:val="center"/>
              <w:rPr>
                <w:iCs/>
              </w:rPr>
            </w:pPr>
            <w:r w:rsidRPr="00F64639">
              <w:rPr>
                <w:iCs/>
              </w:rPr>
              <w:t>19,57</w:t>
            </w:r>
          </w:p>
        </w:tc>
        <w:tc>
          <w:tcPr>
            <w:tcW w:w="2326" w:type="dxa"/>
            <w:shd w:val="clear" w:color="auto" w:fill="EFD3D2"/>
            <w:vAlign w:val="bottom"/>
          </w:tcPr>
          <w:p w:rsidR="00394B16" w:rsidRPr="00F64639" w:rsidRDefault="00394B16" w:rsidP="000B0E4C">
            <w:pPr>
              <w:jc w:val="center"/>
              <w:rPr>
                <w:iCs/>
              </w:rPr>
            </w:pPr>
            <w:r w:rsidRPr="00F64639">
              <w:rPr>
                <w:iCs/>
              </w:rPr>
              <w:t>22,70</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lastRenderedPageBreak/>
              <w:t>Budapest</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1,02</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0,00</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Csongrád</w:t>
            </w:r>
          </w:p>
        </w:tc>
        <w:tc>
          <w:tcPr>
            <w:tcW w:w="2326" w:type="dxa"/>
            <w:shd w:val="clear" w:color="auto" w:fill="EFD3D2"/>
            <w:vAlign w:val="bottom"/>
          </w:tcPr>
          <w:p w:rsidR="00394B16" w:rsidRPr="00F64639" w:rsidRDefault="00394B16" w:rsidP="000B0E4C">
            <w:pPr>
              <w:jc w:val="center"/>
              <w:rPr>
                <w:iCs/>
              </w:rPr>
            </w:pPr>
            <w:r w:rsidRPr="00F64639">
              <w:rPr>
                <w:iCs/>
              </w:rPr>
              <w:t>1,96</w:t>
            </w:r>
          </w:p>
        </w:tc>
        <w:tc>
          <w:tcPr>
            <w:tcW w:w="2326" w:type="dxa"/>
            <w:shd w:val="clear" w:color="auto" w:fill="EFD3D2"/>
            <w:vAlign w:val="bottom"/>
          </w:tcPr>
          <w:p w:rsidR="00394B16" w:rsidRPr="00F64639" w:rsidRDefault="00394B16" w:rsidP="000B0E4C">
            <w:pPr>
              <w:jc w:val="center"/>
              <w:rPr>
                <w:iCs/>
              </w:rPr>
            </w:pPr>
            <w:r w:rsidRPr="00F64639">
              <w:rPr>
                <w:iCs/>
              </w:rPr>
              <w:t>0,45</w:t>
            </w:r>
          </w:p>
        </w:tc>
        <w:tc>
          <w:tcPr>
            <w:tcW w:w="2326" w:type="dxa"/>
            <w:shd w:val="clear" w:color="auto" w:fill="EFD3D2"/>
            <w:vAlign w:val="bottom"/>
          </w:tcPr>
          <w:p w:rsidR="00394B16" w:rsidRPr="00F64639" w:rsidRDefault="00394B16" w:rsidP="000B0E4C">
            <w:pPr>
              <w:jc w:val="center"/>
              <w:rPr>
                <w:iCs/>
              </w:rPr>
            </w:pPr>
            <w:r w:rsidRPr="00F64639">
              <w:rPr>
                <w:iCs/>
              </w:rPr>
              <w:t>0,59</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Fejér</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2,85</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2,13</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0,00</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Győr-Moson-Sopron</w:t>
            </w:r>
          </w:p>
        </w:tc>
        <w:tc>
          <w:tcPr>
            <w:tcW w:w="2326" w:type="dxa"/>
            <w:shd w:val="clear" w:color="auto" w:fill="EFD3D2"/>
            <w:vAlign w:val="bottom"/>
          </w:tcPr>
          <w:p w:rsidR="00394B16" w:rsidRPr="00F64639" w:rsidRDefault="00394B16" w:rsidP="000B0E4C">
            <w:pPr>
              <w:jc w:val="center"/>
              <w:rPr>
                <w:iCs/>
              </w:rPr>
            </w:pPr>
            <w:r w:rsidRPr="00F64639">
              <w:rPr>
                <w:iCs/>
              </w:rPr>
              <w:t>4,27</w:t>
            </w:r>
          </w:p>
        </w:tc>
        <w:tc>
          <w:tcPr>
            <w:tcW w:w="2326" w:type="dxa"/>
            <w:shd w:val="clear" w:color="auto" w:fill="EFD3D2"/>
            <w:vAlign w:val="bottom"/>
          </w:tcPr>
          <w:p w:rsidR="00394B16" w:rsidRPr="00F64639" w:rsidRDefault="00394B16" w:rsidP="000B0E4C">
            <w:pPr>
              <w:jc w:val="center"/>
              <w:rPr>
                <w:iCs/>
              </w:rPr>
            </w:pPr>
            <w:r w:rsidRPr="00F64639">
              <w:rPr>
                <w:iCs/>
              </w:rPr>
              <w:t>3,43</w:t>
            </w:r>
          </w:p>
        </w:tc>
        <w:tc>
          <w:tcPr>
            <w:tcW w:w="2326" w:type="dxa"/>
            <w:shd w:val="clear" w:color="auto" w:fill="EFD3D2"/>
            <w:vAlign w:val="bottom"/>
          </w:tcPr>
          <w:p w:rsidR="00394B16" w:rsidRPr="00F64639" w:rsidRDefault="00394B16" w:rsidP="000B0E4C">
            <w:pPr>
              <w:jc w:val="center"/>
              <w:rPr>
                <w:iCs/>
              </w:rPr>
            </w:pPr>
            <w:r w:rsidRPr="00F64639">
              <w:rPr>
                <w:iCs/>
              </w:rPr>
              <w:t>1,07</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Hajdú-Bihar</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3,53</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3,94</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3,42</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Heves</w:t>
            </w:r>
          </w:p>
        </w:tc>
        <w:tc>
          <w:tcPr>
            <w:tcW w:w="2326" w:type="dxa"/>
            <w:shd w:val="clear" w:color="auto" w:fill="EFD3D2"/>
            <w:vAlign w:val="bottom"/>
          </w:tcPr>
          <w:p w:rsidR="00394B16" w:rsidRPr="00F64639" w:rsidRDefault="00394B16" w:rsidP="000B0E4C">
            <w:pPr>
              <w:jc w:val="center"/>
              <w:rPr>
                <w:iCs/>
              </w:rPr>
            </w:pPr>
            <w:r w:rsidRPr="00F64639">
              <w:rPr>
                <w:iCs/>
              </w:rPr>
              <w:t>4,58</w:t>
            </w:r>
          </w:p>
        </w:tc>
        <w:tc>
          <w:tcPr>
            <w:tcW w:w="2326" w:type="dxa"/>
            <w:shd w:val="clear" w:color="auto" w:fill="EFD3D2"/>
            <w:vAlign w:val="bottom"/>
          </w:tcPr>
          <w:p w:rsidR="00394B16" w:rsidRPr="00F64639" w:rsidRDefault="00394B16" w:rsidP="000B0E4C">
            <w:pPr>
              <w:jc w:val="center"/>
              <w:rPr>
                <w:iCs/>
              </w:rPr>
            </w:pPr>
            <w:r w:rsidRPr="00F64639">
              <w:rPr>
                <w:iCs/>
              </w:rPr>
              <w:t>2,23</w:t>
            </w:r>
          </w:p>
        </w:tc>
        <w:tc>
          <w:tcPr>
            <w:tcW w:w="2326" w:type="dxa"/>
            <w:shd w:val="clear" w:color="auto" w:fill="EFD3D2"/>
            <w:vAlign w:val="bottom"/>
          </w:tcPr>
          <w:p w:rsidR="00394B16" w:rsidRPr="00F64639" w:rsidRDefault="00394B16" w:rsidP="000B0E4C">
            <w:pPr>
              <w:jc w:val="center"/>
              <w:rPr>
                <w:iCs/>
              </w:rPr>
            </w:pPr>
            <w:r w:rsidRPr="00F64639">
              <w:rPr>
                <w:iCs/>
              </w:rPr>
              <w:t>2,37</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Jász-Nagykun-Szolnok</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1,70</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3,82</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2,78</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Komárom-Esztergom</w:t>
            </w:r>
          </w:p>
        </w:tc>
        <w:tc>
          <w:tcPr>
            <w:tcW w:w="2326" w:type="dxa"/>
            <w:shd w:val="clear" w:color="auto" w:fill="EFD3D2"/>
            <w:vAlign w:val="bottom"/>
          </w:tcPr>
          <w:p w:rsidR="00394B16" w:rsidRPr="00F64639" w:rsidRDefault="00394B16" w:rsidP="000B0E4C">
            <w:pPr>
              <w:jc w:val="center"/>
              <w:rPr>
                <w:iCs/>
              </w:rPr>
            </w:pPr>
            <w:r w:rsidRPr="00F64639">
              <w:rPr>
                <w:iCs/>
              </w:rPr>
              <w:t>3,23</w:t>
            </w:r>
          </w:p>
        </w:tc>
        <w:tc>
          <w:tcPr>
            <w:tcW w:w="2326" w:type="dxa"/>
            <w:shd w:val="clear" w:color="auto" w:fill="EFD3D2"/>
            <w:vAlign w:val="bottom"/>
          </w:tcPr>
          <w:p w:rsidR="00394B16" w:rsidRPr="00F64639" w:rsidRDefault="00394B16" w:rsidP="000B0E4C">
            <w:pPr>
              <w:jc w:val="center"/>
              <w:rPr>
                <w:iCs/>
              </w:rPr>
            </w:pPr>
            <w:r w:rsidRPr="00F64639">
              <w:rPr>
                <w:iCs/>
              </w:rPr>
              <w:t>0,39</w:t>
            </w:r>
          </w:p>
        </w:tc>
        <w:tc>
          <w:tcPr>
            <w:tcW w:w="2326" w:type="dxa"/>
            <w:shd w:val="clear" w:color="auto" w:fill="EFD3D2"/>
            <w:vAlign w:val="bottom"/>
          </w:tcPr>
          <w:p w:rsidR="00394B16" w:rsidRPr="00F64639" w:rsidRDefault="00394B16" w:rsidP="000B0E4C">
            <w:pPr>
              <w:jc w:val="center"/>
              <w:rPr>
                <w:iCs/>
              </w:rPr>
            </w:pPr>
            <w:r w:rsidRPr="00F64639">
              <w:rPr>
                <w:iCs/>
              </w:rPr>
              <w:t>0,71</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Nógrád</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5,13</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2,11</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2,32</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Pest (+Budapest)</w:t>
            </w:r>
          </w:p>
        </w:tc>
        <w:tc>
          <w:tcPr>
            <w:tcW w:w="2326" w:type="dxa"/>
            <w:shd w:val="clear" w:color="auto" w:fill="EFD3D2"/>
            <w:vAlign w:val="bottom"/>
          </w:tcPr>
          <w:p w:rsidR="00394B16" w:rsidRPr="00F64639" w:rsidRDefault="00394B16" w:rsidP="000B0E4C">
            <w:pPr>
              <w:jc w:val="center"/>
              <w:rPr>
                <w:iCs/>
              </w:rPr>
            </w:pPr>
            <w:r w:rsidRPr="00F64639">
              <w:rPr>
                <w:iCs/>
              </w:rPr>
              <w:t>8,86</w:t>
            </w:r>
          </w:p>
        </w:tc>
        <w:tc>
          <w:tcPr>
            <w:tcW w:w="2326" w:type="dxa"/>
            <w:shd w:val="clear" w:color="auto" w:fill="EFD3D2"/>
            <w:vAlign w:val="bottom"/>
          </w:tcPr>
          <w:p w:rsidR="00394B16" w:rsidRPr="00F64639" w:rsidRDefault="00394B16" w:rsidP="000B0E4C">
            <w:pPr>
              <w:jc w:val="center"/>
              <w:rPr>
                <w:iCs/>
              </w:rPr>
            </w:pPr>
            <w:r w:rsidRPr="00F64639">
              <w:rPr>
                <w:iCs/>
              </w:rPr>
              <w:t>4,74</w:t>
            </w:r>
          </w:p>
        </w:tc>
        <w:tc>
          <w:tcPr>
            <w:tcW w:w="2326" w:type="dxa"/>
            <w:shd w:val="clear" w:color="auto" w:fill="EFD3D2"/>
            <w:vAlign w:val="bottom"/>
          </w:tcPr>
          <w:p w:rsidR="00394B16" w:rsidRPr="00F64639" w:rsidRDefault="00394B16" w:rsidP="000B0E4C">
            <w:pPr>
              <w:jc w:val="center"/>
              <w:rPr>
                <w:iCs/>
              </w:rPr>
            </w:pPr>
            <w:r w:rsidRPr="00F64639">
              <w:rPr>
                <w:iCs/>
              </w:rPr>
              <w:t>4,47</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Somogy</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9,25</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9,55</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6,94</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Szabolcs-Szatmár-Bereg</w:t>
            </w:r>
          </w:p>
        </w:tc>
        <w:tc>
          <w:tcPr>
            <w:tcW w:w="2326" w:type="dxa"/>
            <w:shd w:val="clear" w:color="auto" w:fill="EFD3D2"/>
            <w:vAlign w:val="bottom"/>
          </w:tcPr>
          <w:p w:rsidR="00394B16" w:rsidRPr="00F64639" w:rsidRDefault="00394B16" w:rsidP="000B0E4C">
            <w:pPr>
              <w:jc w:val="center"/>
              <w:rPr>
                <w:iCs/>
              </w:rPr>
            </w:pPr>
            <w:r w:rsidRPr="00F64639">
              <w:rPr>
                <w:iCs/>
              </w:rPr>
              <w:t>6,24</w:t>
            </w:r>
          </w:p>
        </w:tc>
        <w:tc>
          <w:tcPr>
            <w:tcW w:w="2326" w:type="dxa"/>
            <w:shd w:val="clear" w:color="auto" w:fill="EFD3D2"/>
            <w:vAlign w:val="bottom"/>
          </w:tcPr>
          <w:p w:rsidR="00394B16" w:rsidRPr="00F64639" w:rsidRDefault="00394B16" w:rsidP="000B0E4C">
            <w:pPr>
              <w:jc w:val="center"/>
              <w:rPr>
                <w:iCs/>
              </w:rPr>
            </w:pPr>
            <w:r w:rsidRPr="00F64639">
              <w:rPr>
                <w:iCs/>
              </w:rPr>
              <w:t>13,75</w:t>
            </w:r>
          </w:p>
        </w:tc>
        <w:tc>
          <w:tcPr>
            <w:tcW w:w="2326" w:type="dxa"/>
            <w:shd w:val="clear" w:color="auto" w:fill="EFD3D2"/>
            <w:vAlign w:val="bottom"/>
          </w:tcPr>
          <w:p w:rsidR="00394B16" w:rsidRPr="00F64639" w:rsidRDefault="00394B16" w:rsidP="000B0E4C">
            <w:pPr>
              <w:jc w:val="center"/>
              <w:rPr>
                <w:iCs/>
              </w:rPr>
            </w:pPr>
            <w:r w:rsidRPr="00F64639">
              <w:rPr>
                <w:iCs/>
              </w:rPr>
              <w:t>11,96</w:t>
            </w:r>
          </w:p>
        </w:tc>
      </w:tr>
      <w:tr w:rsidR="00394B16" w:rsidRPr="00F64639" w:rsidTr="000B0E4C">
        <w:tc>
          <w:tcPr>
            <w:tcW w:w="2325" w:type="dxa"/>
            <w:tcBorders>
              <w:top w:val="single" w:sz="8" w:space="0" w:color="FFFFFF"/>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Tolna</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3,45</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2,54</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2,90</w:t>
            </w:r>
          </w:p>
        </w:tc>
      </w:tr>
      <w:tr w:rsidR="00394B16" w:rsidRPr="00F64639" w:rsidTr="000B0E4C">
        <w:tc>
          <w:tcPr>
            <w:tcW w:w="2325" w:type="dxa"/>
            <w:tcBorders>
              <w:left w:val="single" w:sz="8" w:space="0" w:color="FFFFFF"/>
              <w:bottom w:val="nil"/>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Vas</w:t>
            </w:r>
          </w:p>
        </w:tc>
        <w:tc>
          <w:tcPr>
            <w:tcW w:w="2326" w:type="dxa"/>
            <w:shd w:val="clear" w:color="auto" w:fill="EFD3D2"/>
            <w:vAlign w:val="bottom"/>
          </w:tcPr>
          <w:p w:rsidR="00394B16" w:rsidRPr="00F64639" w:rsidRDefault="00394B16" w:rsidP="000B0E4C">
            <w:pPr>
              <w:jc w:val="center"/>
              <w:rPr>
                <w:iCs/>
              </w:rPr>
            </w:pPr>
            <w:r w:rsidRPr="00F64639">
              <w:rPr>
                <w:iCs/>
              </w:rPr>
              <w:t>4,92</w:t>
            </w:r>
          </w:p>
        </w:tc>
        <w:tc>
          <w:tcPr>
            <w:tcW w:w="2326" w:type="dxa"/>
            <w:shd w:val="clear" w:color="auto" w:fill="EFD3D2"/>
            <w:vAlign w:val="bottom"/>
          </w:tcPr>
          <w:p w:rsidR="00394B16" w:rsidRPr="00F64639" w:rsidRDefault="00394B16" w:rsidP="000B0E4C">
            <w:pPr>
              <w:jc w:val="center"/>
              <w:rPr>
                <w:iCs/>
              </w:rPr>
            </w:pPr>
            <w:r w:rsidRPr="00F64639">
              <w:rPr>
                <w:iCs/>
              </w:rPr>
              <w:t>2,31</w:t>
            </w:r>
          </w:p>
        </w:tc>
        <w:tc>
          <w:tcPr>
            <w:tcW w:w="2326" w:type="dxa"/>
            <w:shd w:val="clear" w:color="auto" w:fill="EFD3D2"/>
            <w:vAlign w:val="bottom"/>
          </w:tcPr>
          <w:p w:rsidR="00394B16" w:rsidRPr="00F64639" w:rsidRDefault="00394B16" w:rsidP="000B0E4C">
            <w:pPr>
              <w:jc w:val="center"/>
              <w:rPr>
                <w:iCs/>
              </w:rPr>
            </w:pPr>
            <w:r w:rsidRPr="00F64639">
              <w:rPr>
                <w:iCs/>
              </w:rPr>
              <w:t>2,80</w:t>
            </w:r>
          </w:p>
        </w:tc>
      </w:tr>
      <w:tr w:rsidR="00394B16" w:rsidRPr="00F64639" w:rsidTr="000B0E4C">
        <w:tc>
          <w:tcPr>
            <w:tcW w:w="2325" w:type="dxa"/>
            <w:tcBorders>
              <w:top w:val="single" w:sz="8" w:space="0" w:color="FFFFFF"/>
              <w:left w:val="single" w:sz="8" w:space="0" w:color="FFFFFF"/>
              <w:bottom w:val="single" w:sz="8" w:space="0" w:color="FFFFFF"/>
              <w:right w:val="single" w:sz="24" w:space="0" w:color="FFFFFF"/>
            </w:tcBorders>
            <w:shd w:val="clear" w:color="auto" w:fill="C0504D"/>
            <w:vAlign w:val="bottom"/>
          </w:tcPr>
          <w:p w:rsidR="00394B16" w:rsidRPr="00F64639" w:rsidRDefault="00394B16" w:rsidP="000B0E4C">
            <w:pPr>
              <w:jc w:val="both"/>
              <w:rPr>
                <w:b/>
                <w:bCs/>
                <w:iCs/>
                <w:color w:val="FFFFFF"/>
              </w:rPr>
            </w:pPr>
            <w:r w:rsidRPr="00F64639">
              <w:rPr>
                <w:b/>
                <w:bCs/>
                <w:iCs/>
                <w:color w:val="FFFFFF"/>
              </w:rPr>
              <w:t>Veszprém</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7,01</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6,77</w:t>
            </w:r>
          </w:p>
        </w:tc>
        <w:tc>
          <w:tcPr>
            <w:tcW w:w="2326" w:type="dxa"/>
            <w:tcBorders>
              <w:top w:val="single" w:sz="8" w:space="0" w:color="FFFFFF"/>
              <w:left w:val="single" w:sz="8" w:space="0" w:color="FFFFFF"/>
              <w:bottom w:val="single" w:sz="8" w:space="0" w:color="FFFFFF"/>
              <w:right w:val="single" w:sz="8" w:space="0" w:color="FFFFFF"/>
            </w:tcBorders>
            <w:shd w:val="clear" w:color="auto" w:fill="DFA7A6"/>
            <w:vAlign w:val="bottom"/>
          </w:tcPr>
          <w:p w:rsidR="00394B16" w:rsidRPr="00F64639" w:rsidRDefault="00394B16" w:rsidP="000B0E4C">
            <w:pPr>
              <w:jc w:val="center"/>
              <w:rPr>
                <w:iCs/>
              </w:rPr>
            </w:pPr>
            <w:r w:rsidRPr="00F64639">
              <w:rPr>
                <w:iCs/>
              </w:rPr>
              <w:t>10,94</w:t>
            </w:r>
          </w:p>
        </w:tc>
      </w:tr>
    </w:tbl>
    <w:p w:rsidR="007B5ECF" w:rsidRPr="00F64639" w:rsidRDefault="00075A29" w:rsidP="00FC4461">
      <w:pPr>
        <w:pStyle w:val="Caption"/>
        <w:spacing w:before="60" w:after="120" w:line="280" w:lineRule="atLeast"/>
        <w:jc w:val="center"/>
        <w:rPr>
          <w:color w:val="auto"/>
        </w:rPr>
      </w:pPr>
      <w:r w:rsidRPr="00F64639">
        <w:rPr>
          <w:color w:val="auto"/>
        </w:rPr>
        <w:fldChar w:fldCharType="begin"/>
      </w:r>
      <w:r w:rsidR="00FC4461" w:rsidRPr="00F64639">
        <w:rPr>
          <w:color w:val="auto"/>
        </w:rPr>
        <w:instrText xml:space="preserve"> SEQ táblázat \* ARABIC </w:instrText>
      </w:r>
      <w:r w:rsidRPr="00F64639">
        <w:rPr>
          <w:color w:val="auto"/>
        </w:rPr>
        <w:fldChar w:fldCharType="separate"/>
      </w:r>
      <w:r w:rsidR="00E30745" w:rsidRPr="00F64639">
        <w:rPr>
          <w:noProof/>
          <w:color w:val="auto"/>
        </w:rPr>
        <w:t>33</w:t>
      </w:r>
      <w:r w:rsidRPr="00F64639">
        <w:rPr>
          <w:color w:val="auto"/>
        </w:rPr>
        <w:fldChar w:fldCharType="end"/>
      </w:r>
      <w:r w:rsidR="00FC4461" w:rsidRPr="00F64639">
        <w:rPr>
          <w:color w:val="auto"/>
        </w:rPr>
        <w:t>. táblázat: Magyarország erdészeteinek jellemzői</w:t>
      </w:r>
    </w:p>
    <w:p w:rsidR="00B701A4" w:rsidRPr="00F64639" w:rsidRDefault="00B701A4" w:rsidP="007B5ECF">
      <w:pPr>
        <w:pStyle w:val="HUNNormal"/>
        <w:tabs>
          <w:tab w:val="left" w:pos="709"/>
        </w:tabs>
      </w:pPr>
      <w:r w:rsidRPr="00F64639">
        <w:t xml:space="preserve">Az </w:t>
      </w:r>
      <w:r w:rsidRPr="00F64639">
        <w:rPr>
          <w:b/>
        </w:rPr>
        <w:t>átfutási adatok</w:t>
      </w:r>
      <w:r w:rsidRPr="00F64639">
        <w:t xml:space="preserve"> elemzés során megállapítottuk, hogy a támogatási kérelmek elbírálása átlagosan 199 naptári napot vett igénybe, míg a kifizetési kérelmeké 57 naptári napot. Azon támogatási kérelem ügyek esetében, ahol elemezhető az </w:t>
      </w:r>
      <w:proofErr w:type="spellStart"/>
      <w:r w:rsidRPr="00F64639">
        <w:t>alfolyamatok</w:t>
      </w:r>
      <w:proofErr w:type="spellEnd"/>
      <w:r w:rsidRPr="00F64639">
        <w:t xml:space="preserve"> teljesítménye (243 db támogatási kérelem), az átlagos átfutási idő ennél magasabb (205 naptári nap): az MVH 147, az Irányító Hatóság 52, míg az ügyfél </w:t>
      </w:r>
      <w:r w:rsidR="00991808" w:rsidRPr="00F64639">
        <w:t>7 naptári nappal „részesedett” a teljes időből.</w:t>
      </w:r>
    </w:p>
    <w:p w:rsidR="00D67305" w:rsidRPr="00F64639" w:rsidRDefault="00D67305" w:rsidP="007B5ECF">
      <w:pPr>
        <w:pStyle w:val="HUNNormal"/>
        <w:tabs>
          <w:tab w:val="left" w:pos="709"/>
        </w:tabs>
        <w:rPr>
          <w:b/>
        </w:rPr>
      </w:pPr>
      <w:r w:rsidRPr="00F64639">
        <w:rPr>
          <w:b/>
        </w:rPr>
        <w:t>Relevanciaelemzés</w:t>
      </w:r>
    </w:p>
    <w:p w:rsidR="00D67305" w:rsidRPr="00F64639" w:rsidRDefault="00D67305" w:rsidP="00D67305">
      <w:pPr>
        <w:pStyle w:val="HUNNormal"/>
      </w:pPr>
      <w:r w:rsidRPr="00F64639">
        <w:t>Az intézkedés relevánsnak tekinthető, hiszen a fenntartható erdőgazdálkodás és az erdők többcélú rendelt</w:t>
      </w:r>
      <w:r w:rsidRPr="00F64639">
        <w:t>e</w:t>
      </w:r>
      <w:r w:rsidRPr="00F64639">
        <w:t>tésének biztosítása mellett fontos szempont az erdőterületek gazdasági értékének növelése, a termelés magasabb fokú diverzifikációja, valamint a piaci lehetőségek javítása, mivel az erdőterületek alapvető sz</w:t>
      </w:r>
      <w:r w:rsidRPr="00F64639">
        <w:t>e</w:t>
      </w:r>
      <w:r w:rsidRPr="00F64639">
        <w:t>repet töltenek be a vidék gazdasági tevékenységében. A rendszerváltás után az erdők több mint 40%-a m</w:t>
      </w:r>
      <w:r w:rsidRPr="00F64639">
        <w:t>a</w:t>
      </w:r>
      <w:r w:rsidRPr="00F64639">
        <w:t>gánkézbe került. Ezeket a területeket különösen súlyosan érinti a tőkeellátottság és a megfelelő eszközök hiánya, aminek következtében az erdők állapota leromlott, a meglévő gépállomány és egyéb eszközök, v</w:t>
      </w:r>
      <w:r w:rsidRPr="00F64639">
        <w:t>a</w:t>
      </w:r>
      <w:r w:rsidRPr="00F64639">
        <w:t>lamint az alkalmazott technológia egyaránt korszerűsítésre és bővítésre szorult.</w:t>
      </w:r>
    </w:p>
    <w:p w:rsidR="00D67305" w:rsidRPr="00F64639" w:rsidRDefault="00D67305" w:rsidP="00D67305">
      <w:pPr>
        <w:pStyle w:val="HUNNormal"/>
      </w:pPr>
      <w:r w:rsidRPr="00F64639">
        <w:t xml:space="preserve">Ugyanakkor a második megnyitási körben érkezett igények elemzése alapján úgy tűnik, hogy </w:t>
      </w:r>
      <w:r w:rsidRPr="00F64639">
        <w:rPr>
          <w:b/>
        </w:rPr>
        <w:t>a beavatkozá</w:t>
      </w:r>
      <w:r w:rsidRPr="00F64639">
        <w:rPr>
          <w:b/>
        </w:rPr>
        <w:t>s</w:t>
      </w:r>
      <w:r w:rsidRPr="00F64639">
        <w:rPr>
          <w:b/>
        </w:rPr>
        <w:t>ra szánt forrás elégségesnek és relevánsnak bizonyult az igények kielégítése szempontjából</w:t>
      </w:r>
    </w:p>
    <w:p w:rsidR="00EF6DC9" w:rsidRPr="00F64639" w:rsidRDefault="00D67305" w:rsidP="006A14D3">
      <w:pPr>
        <w:pStyle w:val="HUNNormal"/>
        <w:tabs>
          <w:tab w:val="left" w:pos="709"/>
        </w:tabs>
        <w:rPr>
          <w:b/>
        </w:rPr>
      </w:pPr>
      <w:r w:rsidRPr="00F64639">
        <w:rPr>
          <w:b/>
        </w:rPr>
        <w:lastRenderedPageBreak/>
        <w:t>Hatékonyságelemzés</w:t>
      </w:r>
    </w:p>
    <w:p w:rsidR="00D67305" w:rsidRPr="00F64639" w:rsidRDefault="00D67305" w:rsidP="00D67305">
      <w:pPr>
        <w:pStyle w:val="HUNNormal"/>
      </w:pPr>
      <w:r w:rsidRPr="00F64639">
        <w:t>A beavatkozáshoz tartozó, annak támogatási feltételrendszerét tartalmazó támogatási rendelet a többször módosított 144/2008 (XI.7.) FVM rendelet. A jogcím első megnyitásakor a rendelet 2. sz. melléklete a Gé</w:t>
      </w:r>
      <w:r w:rsidRPr="00F64639">
        <w:t>p</w:t>
      </w:r>
      <w:r w:rsidRPr="00F64639">
        <w:t>katalógus alapján határozta meg a beszerezhető erő- és munkagépek körét, a mellékletbe azonban olyan gépek is belekerültek, amelyek nem kimondottan erdészeti célokat szolgálnak. A Gépkatalógus 1. és 2. f</w:t>
      </w:r>
      <w:r w:rsidRPr="00F64639">
        <w:t>ő</w:t>
      </w:r>
      <w:r w:rsidRPr="00F64639">
        <w:t>csoportja az általános mezőgazdasági célú erő- és munkagépeket tartalmazza, míg a 6. főcsoportban talá</w:t>
      </w:r>
      <w:r w:rsidRPr="00F64639">
        <w:t>l</w:t>
      </w:r>
      <w:r w:rsidRPr="00F64639">
        <w:t xml:space="preserve">hatók az „Egyes kiemelt termelési feladatok speciális gépei, berendezései”, közöttük az erdőgazdálkodás céljait szolgáló speciális gépek, berendezések. Jellemző módon, a jogcím első megnyitásakor jóváhagyott kérelmek kapcsán beszerzett 427 db erőgépből 380 db az 1. főcsoportba tartozott. Ennek oka, hogy </w:t>
      </w:r>
      <w:r w:rsidRPr="00F64639">
        <w:rPr>
          <w:b/>
        </w:rPr>
        <w:t>a t</w:t>
      </w:r>
      <w:r w:rsidRPr="00F64639">
        <w:rPr>
          <w:b/>
        </w:rPr>
        <w:t>á</w:t>
      </w:r>
      <w:r w:rsidRPr="00F64639">
        <w:rPr>
          <w:b/>
        </w:rPr>
        <w:t>mogatás intenzitása (50%) vonzóvá tette az intézkedést a mezőgazdasággal foglalkozók számára is</w:t>
      </w:r>
      <w:r w:rsidRPr="00F64639">
        <w:t xml:space="preserve">, és az erdőgazdálkodásra vonatkozó </w:t>
      </w:r>
      <w:r w:rsidRPr="00F64639">
        <w:rPr>
          <w:b/>
        </w:rPr>
        <w:t>feltételek</w:t>
      </w:r>
      <w:r w:rsidRPr="00F64639">
        <w:t xml:space="preserve"> </w:t>
      </w:r>
      <w:r w:rsidRPr="00F64639">
        <w:rPr>
          <w:b/>
        </w:rPr>
        <w:t>teljesítése</w:t>
      </w:r>
      <w:r w:rsidRPr="00F64639">
        <w:t xml:space="preserve"> </w:t>
      </w:r>
      <w:r w:rsidRPr="00F64639">
        <w:rPr>
          <w:b/>
        </w:rPr>
        <w:t>nem</w:t>
      </w:r>
      <w:r w:rsidRPr="00F64639">
        <w:t xml:space="preserve"> okozott </w:t>
      </w:r>
      <w:r w:rsidRPr="00F64639">
        <w:rPr>
          <w:b/>
        </w:rPr>
        <w:t>gondot</w:t>
      </w:r>
      <w:r w:rsidRPr="00F64639">
        <w:t xml:space="preserve"> számukra sem. A jogcím második megnyitásakor (2010.06.01.–2010.06.30.) a fenti probléma megoldása érdekében módosításra került a 144/2008 (XI.7.) FVM rendelet, amely jelenlegi formájában meghatározza, hogy a különböző teljesítményű mezőgazdasági erőgépek beszerzéséhez mekkora erdőterülettel kell rendelkeznie a pályázónak, illetve az erdőterület mérete alapján maximálja az igényelhető támogatást (sávos támogatási rendszer). Jelenlegi fo</w:t>
      </w:r>
      <w:r w:rsidRPr="00F64639">
        <w:t>r</w:t>
      </w:r>
      <w:r w:rsidRPr="00F64639">
        <w:t xml:space="preserve">májában tehát a beavatkozás kiválasztási, lebonyolítási eljárásrendje alkalmassá vált a kívánt célok </w:t>
      </w:r>
      <w:proofErr w:type="gramStart"/>
      <w:r w:rsidRPr="00F64639">
        <w:t>elérés</w:t>
      </w:r>
      <w:r w:rsidRPr="00F64639">
        <w:t>é</w:t>
      </w:r>
      <w:r w:rsidRPr="00F64639">
        <w:t>re</w:t>
      </w:r>
      <w:r w:rsidRPr="00F64639">
        <w:rPr>
          <w:rStyle w:val="FootnoteReference"/>
        </w:rPr>
        <w:footnoteReference w:id="83"/>
      </w:r>
      <w:r w:rsidRPr="00F64639">
        <w:t>.</w:t>
      </w:r>
      <w:proofErr w:type="gramEnd"/>
    </w:p>
    <w:p w:rsidR="00D67305" w:rsidRPr="00F64639" w:rsidRDefault="00D67305" w:rsidP="006A14D3">
      <w:pPr>
        <w:pStyle w:val="HUNNormal"/>
        <w:tabs>
          <w:tab w:val="left" w:pos="709"/>
        </w:tabs>
      </w:pPr>
    </w:p>
    <w:p w:rsidR="00D67305" w:rsidRPr="00F64639" w:rsidRDefault="00D67305" w:rsidP="006A14D3">
      <w:pPr>
        <w:pStyle w:val="HUNNormal"/>
        <w:tabs>
          <w:tab w:val="left" w:pos="709"/>
        </w:tabs>
        <w:rPr>
          <w:b/>
        </w:rPr>
      </w:pPr>
      <w:r w:rsidRPr="00F64639">
        <w:rPr>
          <w:b/>
        </w:rPr>
        <w:t>Hatásvizsgálat</w:t>
      </w:r>
    </w:p>
    <w:p w:rsidR="00D67305" w:rsidRPr="00F64639" w:rsidRDefault="00E76D3B" w:rsidP="006A14D3">
      <w:pPr>
        <w:pStyle w:val="HUNNormal"/>
        <w:tabs>
          <w:tab w:val="left" w:pos="709"/>
        </w:tabs>
      </w:pPr>
      <w:r w:rsidRPr="00F64639">
        <w:t xml:space="preserve">A jövedelmezőségre, foglalkoztatásra gyakorolt hatás esetében </w:t>
      </w:r>
      <w:proofErr w:type="gramStart"/>
      <w:r w:rsidRPr="00F64639">
        <w:t>ezen</w:t>
      </w:r>
      <w:proofErr w:type="gramEnd"/>
      <w:r w:rsidRPr="00F64639">
        <w:t xml:space="preserve"> jogcímnél is a technológia korszerűsít</w:t>
      </w:r>
      <w:r w:rsidRPr="00F64639">
        <w:t>é</w:t>
      </w:r>
      <w:r w:rsidRPr="00F64639">
        <w:t xml:space="preserve">si jogcímeknél leírt hatást valószínűsítjük, de ezt külön mérni (a </w:t>
      </w:r>
      <w:proofErr w:type="spellStart"/>
      <w:r w:rsidRPr="00F64639">
        <w:t>FADN-ban</w:t>
      </w:r>
      <w:proofErr w:type="spellEnd"/>
      <w:r w:rsidRPr="00F64639">
        <w:t xml:space="preserve"> szétválasztani) nem volt módunk.</w:t>
      </w:r>
    </w:p>
    <w:p w:rsidR="00E76D3B" w:rsidRPr="00F64639" w:rsidRDefault="00E76D3B" w:rsidP="006A14D3">
      <w:pPr>
        <w:pStyle w:val="HUNNormal"/>
        <w:tabs>
          <w:tab w:val="left" w:pos="709"/>
        </w:tabs>
        <w:rPr>
          <w:b/>
        </w:rPr>
      </w:pPr>
      <w:r w:rsidRPr="00F64639">
        <w:rPr>
          <w:b/>
        </w:rPr>
        <w:t>Potenciálvizsgálat</w:t>
      </w:r>
    </w:p>
    <w:p w:rsidR="00E76D3B" w:rsidRDefault="00E76D3B" w:rsidP="006A14D3">
      <w:pPr>
        <w:pStyle w:val="HUNNormal"/>
        <w:tabs>
          <w:tab w:val="left" w:pos="709"/>
        </w:tabs>
      </w:pPr>
      <w:r w:rsidRPr="00F64639">
        <w:t>A jövedelmezőségre ebben az esetben se</w:t>
      </w:r>
      <w:r w:rsidR="001F6726">
        <w:t>m</w:t>
      </w:r>
      <w:r w:rsidRPr="00F64639">
        <w:t xml:space="preserve"> végeztünk potenciálvizsgálatot. A foglalkoztatás terén a nyertes erdőgazdálkodók üzleti terveinek elemzése alapján bővítési szándék tapasztalható. A nyertes gazdálkodók 193 fő bővítést terveztek a kérelmekben, vagyis ez jogcím elválik a többi technológiai korszerűsítési jogcí</w:t>
      </w:r>
      <w:r w:rsidRPr="00F64639">
        <w:t>m</w:t>
      </w:r>
      <w:r w:rsidRPr="00F64639">
        <w:t>től, amelyeknél a nyertesek létszámcsökkentést terveztek.</w:t>
      </w:r>
    </w:p>
    <w:p w:rsidR="00E60698" w:rsidRDefault="00E60698" w:rsidP="006A14D3">
      <w:pPr>
        <w:pStyle w:val="HUNNormal"/>
        <w:tabs>
          <w:tab w:val="left" w:pos="709"/>
        </w:tabs>
      </w:pPr>
    </w:p>
    <w:p w:rsidR="00E60698" w:rsidRDefault="00E60698" w:rsidP="006A14D3">
      <w:pPr>
        <w:pStyle w:val="HUNNormal"/>
        <w:tabs>
          <w:tab w:val="left" w:pos="709"/>
        </w:tabs>
      </w:pPr>
    </w:p>
    <w:p w:rsidR="00E60698" w:rsidRPr="00F64639" w:rsidRDefault="00E60698" w:rsidP="006A14D3">
      <w:pPr>
        <w:pStyle w:val="HUNNormal"/>
        <w:tabs>
          <w:tab w:val="left" w:pos="709"/>
        </w:tabs>
      </w:pPr>
    </w:p>
    <w:p w:rsidR="00BA3419" w:rsidRPr="00F64639" w:rsidRDefault="00BA3419" w:rsidP="00E60698">
      <w:pPr>
        <w:pStyle w:val="HUNHeading3"/>
        <w:ind w:hanging="1224"/>
      </w:pPr>
      <w:bookmarkStart w:id="17" w:name="_Toc280786853"/>
      <w:r w:rsidRPr="00F64639">
        <w:t>Mezőgazdasági és erdészeti termékek értéknövelése (123. intézkedés)</w:t>
      </w:r>
      <w:bookmarkEnd w:id="17"/>
    </w:p>
    <w:p w:rsidR="007929EA" w:rsidRPr="00F64639" w:rsidRDefault="007929EA" w:rsidP="007929EA">
      <w:pPr>
        <w:pStyle w:val="HUNNormal"/>
        <w:tabs>
          <w:tab w:val="left" w:pos="709"/>
        </w:tabs>
      </w:pPr>
      <w:r w:rsidRPr="00F64639">
        <w:t>A Mezőgazdasági és erdészeti termékek értéknövelése</w:t>
      </w:r>
      <w:r w:rsidR="00BD5EA2" w:rsidRPr="00F64639">
        <w:t xml:space="preserve"> intézkedés </w:t>
      </w:r>
      <w:r w:rsidRPr="00F64639">
        <w:rPr>
          <w:b/>
        </w:rPr>
        <w:t>célja</w:t>
      </w:r>
      <w:r w:rsidRPr="00F64639">
        <w:t xml:space="preserve"> a mezőgazdasági termékek </w:t>
      </w:r>
      <w:r w:rsidRPr="00F64639">
        <w:rPr>
          <w:b/>
        </w:rPr>
        <w:t>érték</w:t>
      </w:r>
      <w:r w:rsidRPr="00F64639">
        <w:rPr>
          <w:b/>
        </w:rPr>
        <w:t>é</w:t>
      </w:r>
      <w:r w:rsidRPr="00F64639">
        <w:rPr>
          <w:b/>
        </w:rPr>
        <w:t>nek</w:t>
      </w:r>
      <w:r w:rsidRPr="00F64639">
        <w:t xml:space="preserve"> növelése az élelmiszeripari és nem éle</w:t>
      </w:r>
      <w:r w:rsidR="00C94E11" w:rsidRPr="00F64639">
        <w:t>lmiszeripari (</w:t>
      </w:r>
      <w:proofErr w:type="spellStart"/>
      <w:r w:rsidR="00C94E11" w:rsidRPr="00F64639">
        <w:t>bio</w:t>
      </w:r>
      <w:r w:rsidRPr="00F64639">
        <w:t>üzemanyag</w:t>
      </w:r>
      <w:proofErr w:type="spellEnd"/>
      <w:r w:rsidRPr="00F64639">
        <w:t xml:space="preserve">) jellegű feldolgozási tevékenységet folytató vállalkozások </w:t>
      </w:r>
      <w:r w:rsidRPr="00F64639">
        <w:rPr>
          <w:b/>
        </w:rPr>
        <w:t>szerkezetváltásának</w:t>
      </w:r>
      <w:r w:rsidRPr="00F64639">
        <w:t xml:space="preserve">, </w:t>
      </w:r>
      <w:r w:rsidRPr="00F64639">
        <w:rPr>
          <w:b/>
        </w:rPr>
        <w:t>technikai</w:t>
      </w:r>
      <w:r w:rsidRPr="00F64639">
        <w:t>-</w:t>
      </w:r>
      <w:r w:rsidRPr="00F64639">
        <w:rPr>
          <w:b/>
        </w:rPr>
        <w:t>műszaki</w:t>
      </w:r>
      <w:r w:rsidRPr="00F64639">
        <w:t xml:space="preserve"> </w:t>
      </w:r>
      <w:r w:rsidRPr="00F64639">
        <w:rPr>
          <w:b/>
        </w:rPr>
        <w:t>fejlesztésének</w:t>
      </w:r>
      <w:r w:rsidRPr="00F64639">
        <w:t xml:space="preserve"> támogatásával, olyan fejleszt</w:t>
      </w:r>
      <w:r w:rsidRPr="00F64639">
        <w:t>é</w:t>
      </w:r>
      <w:r w:rsidRPr="00F64639">
        <w:t xml:space="preserve">sek előmozdítása által, amelyek újszerű, </w:t>
      </w:r>
      <w:r w:rsidRPr="00F64639">
        <w:rPr>
          <w:b/>
        </w:rPr>
        <w:t>innovatív</w:t>
      </w:r>
      <w:r w:rsidRPr="00F64639">
        <w:t>, magas minőségű termékeket állítanak elő, kielégítve speciális fogyasztói igényeket, továbbá emelve az élelmiszerbiztonság és higiénia szintjét is. További célkit</w:t>
      </w:r>
      <w:r w:rsidRPr="00F64639">
        <w:t>ű</w:t>
      </w:r>
      <w:r w:rsidRPr="00F64639">
        <w:t xml:space="preserve">zése az intézkedésnek, hogy ösztönözze az ágazatban előállított </w:t>
      </w:r>
      <w:r w:rsidRPr="00F64639">
        <w:rPr>
          <w:b/>
        </w:rPr>
        <w:t>biomassza</w:t>
      </w:r>
      <w:r w:rsidRPr="00F64639">
        <w:t xml:space="preserve"> </w:t>
      </w:r>
      <w:r w:rsidRPr="00F64639">
        <w:rPr>
          <w:b/>
        </w:rPr>
        <w:t>energetikai</w:t>
      </w:r>
      <w:r w:rsidRPr="00F64639">
        <w:t xml:space="preserve"> célú </w:t>
      </w:r>
      <w:r w:rsidRPr="00F64639">
        <w:rPr>
          <w:b/>
        </w:rPr>
        <w:t>felhasználását</w:t>
      </w:r>
      <w:r w:rsidRPr="00F64639">
        <w:t>, valamint jelentős hozzáadott értéket képviselő, kiváló minőségű termékek kifejlesztését. Az intézkedés tev</w:t>
      </w:r>
      <w:r w:rsidRPr="00F64639">
        <w:t>é</w:t>
      </w:r>
      <w:r w:rsidRPr="00F64639">
        <w:t>kenysége alapján két jogcímre különül el:</w:t>
      </w:r>
    </w:p>
    <w:p w:rsidR="007929EA" w:rsidRPr="00F64639" w:rsidRDefault="007929EA" w:rsidP="00DF4BBF">
      <w:pPr>
        <w:numPr>
          <w:ilvl w:val="0"/>
          <w:numId w:val="16"/>
        </w:numPr>
        <w:ind w:left="714" w:hanging="357"/>
        <w:jc w:val="both"/>
        <w:rPr>
          <w:iCs/>
          <w:szCs w:val="22"/>
        </w:rPr>
      </w:pPr>
      <w:r w:rsidRPr="00F64639">
        <w:rPr>
          <w:b/>
          <w:iCs/>
          <w:szCs w:val="22"/>
        </w:rPr>
        <w:lastRenderedPageBreak/>
        <w:t>Mezőgazdasági</w:t>
      </w:r>
      <w:r w:rsidRPr="00F64639">
        <w:rPr>
          <w:iCs/>
          <w:szCs w:val="22"/>
        </w:rPr>
        <w:t xml:space="preserve"> termékek </w:t>
      </w:r>
      <w:r w:rsidRPr="00F64639">
        <w:rPr>
          <w:b/>
          <w:iCs/>
          <w:szCs w:val="22"/>
        </w:rPr>
        <w:t>értéknövelése</w:t>
      </w:r>
      <w:r w:rsidRPr="00F64639">
        <w:rPr>
          <w:iCs/>
          <w:szCs w:val="22"/>
        </w:rPr>
        <w:t>;</w:t>
      </w:r>
    </w:p>
    <w:p w:rsidR="007929EA" w:rsidRPr="00F64639" w:rsidRDefault="007929EA" w:rsidP="00DF4BBF">
      <w:pPr>
        <w:numPr>
          <w:ilvl w:val="0"/>
          <w:numId w:val="16"/>
        </w:numPr>
        <w:ind w:left="714" w:hanging="357"/>
        <w:jc w:val="both"/>
      </w:pPr>
      <w:r w:rsidRPr="00F64639">
        <w:rPr>
          <w:iCs/>
          <w:szCs w:val="22"/>
        </w:rPr>
        <w:t xml:space="preserve">Mezőgazdasági </w:t>
      </w:r>
      <w:r w:rsidRPr="00F64639">
        <w:rPr>
          <w:b/>
          <w:iCs/>
          <w:szCs w:val="22"/>
        </w:rPr>
        <w:t>termékek</w:t>
      </w:r>
      <w:r w:rsidRPr="00F64639">
        <w:rPr>
          <w:iCs/>
          <w:szCs w:val="22"/>
        </w:rPr>
        <w:t xml:space="preserve"> értéknövelése félkész vagy végtermékek </w:t>
      </w:r>
      <w:r w:rsidRPr="00F64639">
        <w:rPr>
          <w:b/>
          <w:iCs/>
          <w:szCs w:val="22"/>
        </w:rPr>
        <w:t>energiatermelési</w:t>
      </w:r>
      <w:r w:rsidRPr="00F64639">
        <w:rPr>
          <w:iCs/>
          <w:szCs w:val="22"/>
        </w:rPr>
        <w:t xml:space="preserve"> célú felhaszn</w:t>
      </w:r>
      <w:r w:rsidRPr="00F64639">
        <w:rPr>
          <w:iCs/>
          <w:szCs w:val="22"/>
        </w:rPr>
        <w:t>á</w:t>
      </w:r>
      <w:r w:rsidRPr="00F64639">
        <w:rPr>
          <w:iCs/>
          <w:szCs w:val="22"/>
        </w:rPr>
        <w:t xml:space="preserve">lásra való </w:t>
      </w:r>
      <w:r w:rsidRPr="00F64639">
        <w:rPr>
          <w:b/>
          <w:iCs/>
          <w:szCs w:val="22"/>
        </w:rPr>
        <w:t>előállításával</w:t>
      </w:r>
      <w:r w:rsidRPr="00F64639">
        <w:rPr>
          <w:iCs/>
          <w:szCs w:val="22"/>
        </w:rPr>
        <w:t>.</w:t>
      </w:r>
    </w:p>
    <w:p w:rsidR="007929EA" w:rsidRPr="00F64639" w:rsidRDefault="007929EA" w:rsidP="007929EA">
      <w:pPr>
        <w:pStyle w:val="HUNNormal"/>
      </w:pPr>
      <w:r w:rsidRPr="00F64639">
        <w:t>A két jogcím közvetlen céljában és – részben – célcsoportjában eltér egymástól, így szabályozásuk, lebony</w:t>
      </w:r>
      <w:r w:rsidRPr="00F64639">
        <w:t>o</w:t>
      </w:r>
      <w:r w:rsidRPr="00F64639">
        <w:t>lításuk is elválik egymástól.</w:t>
      </w:r>
    </w:p>
    <w:p w:rsidR="00BD5EA2" w:rsidRPr="00F64639" w:rsidRDefault="00BD5EA2" w:rsidP="00BD5EA2">
      <w:pPr>
        <w:pStyle w:val="HUNNormal"/>
        <w:tabs>
          <w:tab w:val="left" w:pos="709"/>
        </w:tabs>
      </w:pPr>
      <w:r w:rsidRPr="00F64639">
        <w:t>A következő táblázat szemlélteti a jogcím</w:t>
      </w:r>
      <w:r w:rsidR="007929EA" w:rsidRPr="00F64639">
        <w:t>ek</w:t>
      </w:r>
      <w:r w:rsidRPr="00F64639">
        <w:t xml:space="preserve"> főbb </w:t>
      </w:r>
      <w:proofErr w:type="gramStart"/>
      <w:r w:rsidRPr="00F64639">
        <w:t>adatait</w:t>
      </w:r>
      <w:r w:rsidRPr="00F64639">
        <w:rPr>
          <w:rStyle w:val="FootnoteReference"/>
        </w:rPr>
        <w:footnoteReference w:id="84"/>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2084"/>
        <w:gridCol w:w="2084"/>
      </w:tblGrid>
      <w:tr w:rsidR="007929EA"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Jellemző</w:t>
            </w:r>
          </w:p>
        </w:tc>
        <w:tc>
          <w:tcPr>
            <w:tcW w:w="1111" w:type="pct"/>
            <w:tcBorders>
              <w:top w:val="single" w:sz="8" w:space="0" w:color="FFFFFF"/>
              <w:left w:val="single" w:sz="8" w:space="0" w:color="FFFFFF"/>
              <w:bottom w:val="single" w:sz="24" w:space="0" w:color="FFFFFF"/>
              <w:right w:val="single" w:sz="8" w:space="0" w:color="FFFFFF"/>
            </w:tcBorders>
            <w:shd w:val="clear" w:color="auto" w:fill="C0504D"/>
          </w:tcPr>
          <w:p w:rsidR="007929EA" w:rsidRPr="00F64639" w:rsidRDefault="007929EA" w:rsidP="000B0E4C">
            <w:pPr>
              <w:jc w:val="center"/>
              <w:rPr>
                <w:b/>
                <w:bCs/>
                <w:iCs/>
                <w:color w:val="FFFFFF"/>
                <w:szCs w:val="22"/>
              </w:rPr>
            </w:pPr>
            <w:r w:rsidRPr="00F64639">
              <w:rPr>
                <w:b/>
                <w:bCs/>
                <w:iCs/>
                <w:color w:val="FFFFFF"/>
                <w:szCs w:val="22"/>
              </w:rPr>
              <w:t>ÉLIP</w:t>
            </w:r>
          </w:p>
        </w:tc>
        <w:tc>
          <w:tcPr>
            <w:tcW w:w="1111" w:type="pct"/>
            <w:tcBorders>
              <w:top w:val="single" w:sz="8" w:space="0" w:color="FFFFFF"/>
              <w:left w:val="single" w:sz="8" w:space="0" w:color="FFFFFF"/>
              <w:bottom w:val="single" w:sz="24" w:space="0" w:color="FFFFFF"/>
              <w:right w:val="single" w:sz="8" w:space="0" w:color="FFFFFF"/>
            </w:tcBorders>
            <w:shd w:val="clear" w:color="auto" w:fill="C0504D"/>
          </w:tcPr>
          <w:p w:rsidR="007929EA" w:rsidRPr="00F64639" w:rsidRDefault="007929EA" w:rsidP="000B0E4C">
            <w:pPr>
              <w:jc w:val="center"/>
              <w:rPr>
                <w:b/>
                <w:bCs/>
                <w:iCs/>
                <w:color w:val="FFFFFF"/>
                <w:szCs w:val="22"/>
              </w:rPr>
            </w:pPr>
            <w:r w:rsidRPr="00F64639">
              <w:rPr>
                <w:b/>
                <w:bCs/>
                <w:iCs/>
                <w:color w:val="FFFFFF"/>
                <w:szCs w:val="22"/>
              </w:rPr>
              <w:t>Nyers szesz</w:t>
            </w:r>
          </w:p>
        </w:tc>
      </w:tr>
      <w:tr w:rsidR="007929E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Indikatív keret</w:t>
            </w:r>
          </w:p>
        </w:tc>
        <w:tc>
          <w:tcPr>
            <w:tcW w:w="2222" w:type="pct"/>
            <w:gridSpan w:val="2"/>
            <w:tcBorders>
              <w:top w:val="single" w:sz="8" w:space="0" w:color="FFFFFF"/>
              <w:left w:val="single" w:sz="8" w:space="0" w:color="FFFFFF"/>
              <w:bottom w:val="single" w:sz="8" w:space="0" w:color="FFFFFF"/>
              <w:right w:val="single" w:sz="8" w:space="0" w:color="FFFFFF"/>
            </w:tcBorders>
            <w:shd w:val="clear" w:color="auto" w:fill="DFA7A6"/>
          </w:tcPr>
          <w:p w:rsidR="007929EA" w:rsidRPr="00F64639" w:rsidRDefault="007929EA" w:rsidP="000B0E4C">
            <w:pPr>
              <w:jc w:val="center"/>
              <w:rPr>
                <w:rFonts w:cs="Arial"/>
                <w:sz w:val="18"/>
                <w:szCs w:val="18"/>
              </w:rPr>
            </w:pPr>
            <w:r w:rsidRPr="00F64639">
              <w:rPr>
                <w:iCs/>
                <w:szCs w:val="22"/>
              </w:rPr>
              <w:t xml:space="preserve">308 375 333 </w:t>
            </w:r>
            <w:r w:rsidR="0022006B" w:rsidRPr="00F64639">
              <w:rPr>
                <w:iCs/>
                <w:szCs w:val="22"/>
              </w:rPr>
              <w:t>EUR</w:t>
            </w:r>
          </w:p>
        </w:tc>
      </w:tr>
      <w:tr w:rsidR="007929EA" w:rsidRPr="00F64639" w:rsidTr="000B0E4C">
        <w:tc>
          <w:tcPr>
            <w:tcW w:w="2778" w:type="pct"/>
            <w:tcBorders>
              <w:left w:val="single" w:sz="8" w:space="0" w:color="FFFFFF"/>
              <w:bottom w:val="nil"/>
              <w:right w:val="single" w:sz="24"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1111" w:type="pct"/>
            <w:shd w:val="clear" w:color="auto" w:fill="EFD3D2"/>
          </w:tcPr>
          <w:p w:rsidR="007929EA" w:rsidRPr="00F64639" w:rsidRDefault="007929EA" w:rsidP="000B0E4C">
            <w:pPr>
              <w:jc w:val="center"/>
              <w:rPr>
                <w:iCs/>
                <w:szCs w:val="22"/>
              </w:rPr>
            </w:pPr>
            <w:r w:rsidRPr="00F64639">
              <w:rPr>
                <w:iCs/>
                <w:szCs w:val="22"/>
              </w:rPr>
              <w:t>544 db</w:t>
            </w:r>
          </w:p>
        </w:tc>
        <w:tc>
          <w:tcPr>
            <w:tcW w:w="1111" w:type="pct"/>
            <w:shd w:val="clear" w:color="auto" w:fill="EFD3D2"/>
          </w:tcPr>
          <w:p w:rsidR="007929EA" w:rsidRPr="00F64639" w:rsidRDefault="007929EA" w:rsidP="000B0E4C">
            <w:pPr>
              <w:jc w:val="center"/>
              <w:rPr>
                <w:iCs/>
                <w:szCs w:val="22"/>
              </w:rPr>
            </w:pPr>
            <w:r w:rsidRPr="00F64639">
              <w:rPr>
                <w:iCs/>
                <w:szCs w:val="22"/>
              </w:rPr>
              <w:t>31 db</w:t>
            </w:r>
          </w:p>
        </w:tc>
      </w:tr>
      <w:tr w:rsidR="007929E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Jóváhagyott támogatási kérelmek száma</w:t>
            </w:r>
          </w:p>
        </w:tc>
        <w:tc>
          <w:tcPr>
            <w:tcW w:w="1111" w:type="pct"/>
            <w:tcBorders>
              <w:top w:val="single" w:sz="8" w:space="0" w:color="FFFFFF"/>
              <w:left w:val="single" w:sz="8" w:space="0" w:color="FFFFFF"/>
              <w:bottom w:val="single" w:sz="8" w:space="0" w:color="FFFFFF"/>
              <w:right w:val="single" w:sz="8" w:space="0" w:color="FFFFFF"/>
            </w:tcBorders>
            <w:shd w:val="clear" w:color="auto" w:fill="DFA7A6"/>
          </w:tcPr>
          <w:p w:rsidR="007929EA" w:rsidRPr="00F64639" w:rsidRDefault="007929EA" w:rsidP="000B0E4C">
            <w:pPr>
              <w:jc w:val="center"/>
              <w:rPr>
                <w:iCs/>
                <w:szCs w:val="22"/>
              </w:rPr>
            </w:pPr>
            <w:r w:rsidRPr="00F64639">
              <w:rPr>
                <w:iCs/>
                <w:szCs w:val="22"/>
              </w:rPr>
              <w:t>593 db</w:t>
            </w:r>
          </w:p>
        </w:tc>
        <w:tc>
          <w:tcPr>
            <w:tcW w:w="1111" w:type="pct"/>
            <w:tcBorders>
              <w:top w:val="single" w:sz="8" w:space="0" w:color="FFFFFF"/>
              <w:left w:val="single" w:sz="8" w:space="0" w:color="FFFFFF"/>
              <w:bottom w:val="single" w:sz="8" w:space="0" w:color="FFFFFF"/>
              <w:right w:val="single" w:sz="8" w:space="0" w:color="FFFFFF"/>
            </w:tcBorders>
            <w:shd w:val="clear" w:color="auto" w:fill="DFA7A6"/>
          </w:tcPr>
          <w:p w:rsidR="007929EA" w:rsidRPr="00F64639" w:rsidRDefault="007929EA" w:rsidP="000B0E4C">
            <w:pPr>
              <w:jc w:val="center"/>
              <w:rPr>
                <w:iCs/>
                <w:szCs w:val="22"/>
              </w:rPr>
            </w:pPr>
            <w:r w:rsidRPr="00F64639">
              <w:rPr>
                <w:iCs/>
                <w:szCs w:val="22"/>
              </w:rPr>
              <w:t>31 db</w:t>
            </w:r>
          </w:p>
        </w:tc>
      </w:tr>
      <w:tr w:rsidR="007929EA" w:rsidRPr="00F64639" w:rsidTr="000B0E4C">
        <w:tc>
          <w:tcPr>
            <w:tcW w:w="2778" w:type="pct"/>
            <w:tcBorders>
              <w:left w:val="single" w:sz="8" w:space="0" w:color="FFFFFF"/>
              <w:bottom w:val="nil"/>
              <w:right w:val="single" w:sz="24"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Jóváhagyott kifizetési kérelmek száma</w:t>
            </w:r>
          </w:p>
        </w:tc>
        <w:tc>
          <w:tcPr>
            <w:tcW w:w="1111" w:type="pct"/>
            <w:shd w:val="clear" w:color="auto" w:fill="EFD3D2"/>
          </w:tcPr>
          <w:p w:rsidR="007929EA" w:rsidRPr="00F64639" w:rsidRDefault="007929EA" w:rsidP="000B0E4C">
            <w:pPr>
              <w:jc w:val="center"/>
              <w:rPr>
                <w:iCs/>
                <w:szCs w:val="22"/>
              </w:rPr>
            </w:pPr>
            <w:r w:rsidRPr="00F64639">
              <w:rPr>
                <w:iCs/>
                <w:szCs w:val="22"/>
              </w:rPr>
              <w:t>428 db</w:t>
            </w:r>
          </w:p>
        </w:tc>
        <w:tc>
          <w:tcPr>
            <w:tcW w:w="1111" w:type="pct"/>
            <w:shd w:val="clear" w:color="auto" w:fill="EFD3D2"/>
          </w:tcPr>
          <w:p w:rsidR="007929EA" w:rsidRPr="00F64639" w:rsidRDefault="007929EA" w:rsidP="000B0E4C">
            <w:pPr>
              <w:jc w:val="center"/>
              <w:rPr>
                <w:iCs/>
                <w:szCs w:val="22"/>
              </w:rPr>
            </w:pPr>
            <w:r w:rsidRPr="00F64639">
              <w:rPr>
                <w:iCs/>
                <w:szCs w:val="22"/>
              </w:rPr>
              <w:t>0 db</w:t>
            </w:r>
          </w:p>
        </w:tc>
      </w:tr>
      <w:tr w:rsidR="007929E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Kötelezettségvállalás (2010.06.30-ig)</w:t>
            </w:r>
          </w:p>
        </w:tc>
        <w:tc>
          <w:tcPr>
            <w:tcW w:w="2222" w:type="pct"/>
            <w:gridSpan w:val="2"/>
            <w:tcBorders>
              <w:top w:val="single" w:sz="8" w:space="0" w:color="FFFFFF"/>
              <w:left w:val="single" w:sz="8" w:space="0" w:color="FFFFFF"/>
              <w:bottom w:val="single" w:sz="8" w:space="0" w:color="FFFFFF"/>
              <w:right w:val="single" w:sz="8" w:space="0" w:color="FFFFFF"/>
            </w:tcBorders>
            <w:shd w:val="clear" w:color="auto" w:fill="DFA7A6"/>
          </w:tcPr>
          <w:p w:rsidR="007929EA" w:rsidRPr="00F64639" w:rsidRDefault="007929EA" w:rsidP="000B0E4C">
            <w:pPr>
              <w:jc w:val="center"/>
              <w:rPr>
                <w:iCs/>
                <w:szCs w:val="22"/>
              </w:rPr>
            </w:pPr>
            <w:r w:rsidRPr="00F64639">
              <w:rPr>
                <w:iCs/>
                <w:szCs w:val="22"/>
              </w:rPr>
              <w:t xml:space="preserve">78 623 586 645 Ft </w:t>
            </w:r>
            <w:r w:rsidRPr="00F64639">
              <w:rPr>
                <w:rStyle w:val="FootnoteReference"/>
                <w:iCs/>
                <w:szCs w:val="22"/>
              </w:rPr>
              <w:footnoteReference w:id="85"/>
            </w:r>
          </w:p>
        </w:tc>
      </w:tr>
      <w:tr w:rsidR="007929EA" w:rsidRPr="00F64639" w:rsidTr="000B0E4C">
        <w:tc>
          <w:tcPr>
            <w:tcW w:w="2778" w:type="pct"/>
            <w:tcBorders>
              <w:left w:val="single" w:sz="8" w:space="0" w:color="FFFFFF"/>
              <w:right w:val="single" w:sz="24" w:space="0" w:color="FFFFFF"/>
            </w:tcBorders>
            <w:shd w:val="clear" w:color="auto" w:fill="C0504D"/>
          </w:tcPr>
          <w:p w:rsidR="007929EA" w:rsidRPr="00F64639" w:rsidRDefault="007929EA" w:rsidP="000B0E4C">
            <w:pPr>
              <w:jc w:val="both"/>
              <w:rPr>
                <w:b/>
                <w:bCs/>
                <w:iCs/>
                <w:color w:val="FFFFFF"/>
                <w:szCs w:val="22"/>
              </w:rPr>
            </w:pPr>
            <w:r w:rsidRPr="00F64639">
              <w:rPr>
                <w:b/>
                <w:bCs/>
                <w:iCs/>
                <w:color w:val="FFFFFF"/>
                <w:szCs w:val="22"/>
              </w:rPr>
              <w:t>Halmozott kifizetés (2010.06.30-ig)</w:t>
            </w:r>
          </w:p>
        </w:tc>
        <w:tc>
          <w:tcPr>
            <w:tcW w:w="2222" w:type="pct"/>
            <w:gridSpan w:val="2"/>
            <w:shd w:val="clear" w:color="auto" w:fill="EFD3D2"/>
          </w:tcPr>
          <w:p w:rsidR="007929EA" w:rsidRPr="00F64639" w:rsidRDefault="007929EA" w:rsidP="000B0E4C">
            <w:pPr>
              <w:jc w:val="center"/>
              <w:rPr>
                <w:iCs/>
                <w:szCs w:val="22"/>
              </w:rPr>
            </w:pPr>
            <w:r w:rsidRPr="00F64639">
              <w:rPr>
                <w:iCs/>
                <w:szCs w:val="22"/>
              </w:rPr>
              <w:t xml:space="preserve">51 581 094 </w:t>
            </w:r>
            <w:r w:rsidR="0022006B" w:rsidRPr="00F64639">
              <w:rPr>
                <w:iCs/>
                <w:szCs w:val="22"/>
              </w:rPr>
              <w:t>EUR</w:t>
            </w:r>
            <w:r w:rsidRPr="00F64639">
              <w:rPr>
                <w:rStyle w:val="FootnoteReference"/>
                <w:iCs/>
                <w:szCs w:val="22"/>
              </w:rPr>
              <w:footnoteReference w:id="86"/>
            </w:r>
          </w:p>
        </w:tc>
      </w:tr>
    </w:tbl>
    <w:p w:rsidR="007929EA"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34</w:t>
      </w:r>
      <w:r w:rsidRPr="00F64639">
        <w:rPr>
          <w:color w:val="auto"/>
        </w:rPr>
        <w:fldChar w:fldCharType="end"/>
      </w:r>
      <w:r w:rsidR="00AB435B" w:rsidRPr="00F64639">
        <w:rPr>
          <w:color w:val="auto"/>
        </w:rPr>
        <w:t>. táblázat: A jogcím általános jellemzői</w:t>
      </w:r>
    </w:p>
    <w:p w:rsidR="007929EA" w:rsidRPr="00F64639" w:rsidRDefault="00FE3FBD" w:rsidP="007929EA">
      <w:pPr>
        <w:pStyle w:val="HUNNormal"/>
      </w:pPr>
      <w:r w:rsidRPr="00F64639">
        <w:rPr>
          <w:b/>
          <w:u w:val="single"/>
        </w:rPr>
        <w:t>A mezőgazdasági termékek értéknövelése</w:t>
      </w:r>
      <w:r w:rsidRPr="00F64639">
        <w:t xml:space="preserve"> jogcím</w:t>
      </w:r>
      <w:r w:rsidR="007929EA" w:rsidRPr="00F64639">
        <w:t xml:space="preserve"> az ágazat és vállalati teljesítmények fokozása érdekében a hatékony üzemméretek és ésszerű termékszerkezetek létrehozását helyezi elő</w:t>
      </w:r>
      <w:r w:rsidR="000A72B2" w:rsidRPr="00F64639">
        <w:t>térbe</w:t>
      </w:r>
      <w:r w:rsidR="007929EA" w:rsidRPr="00F64639">
        <w:t>. A műszaki fejlesztéssel a fajlagos költségek, az anyag- és energiafelhasználás, valamint a környezetet terhelő hulladékok és vesz</w:t>
      </w:r>
      <w:r w:rsidR="007929EA" w:rsidRPr="00F64639">
        <w:t>é</w:t>
      </w:r>
      <w:r w:rsidR="007929EA" w:rsidRPr="00F64639">
        <w:t>lyes anyagok kibocsátásának csökkentése mellett az innovatív termékek kibocsátása a célkitűzés. Kiemelt szempont az élelmiszerbiztonság fokozása, a nyomon</w:t>
      </w:r>
      <w:r w:rsidR="00A55DD6" w:rsidRPr="00F64639">
        <w:t xml:space="preserve"> </w:t>
      </w:r>
      <w:r w:rsidR="007929EA" w:rsidRPr="00F64639">
        <w:t>követhetőség biztosítása. A program a versenyképe</w:t>
      </w:r>
      <w:r w:rsidR="007929EA" w:rsidRPr="00F64639">
        <w:t>s</w:t>
      </w:r>
      <w:r w:rsidR="007929EA" w:rsidRPr="00F64639">
        <w:t>ség alapfeltételévé teszi a termékpálya mentén történő együttműködést.</w:t>
      </w:r>
    </w:p>
    <w:p w:rsidR="007929EA" w:rsidRPr="00F64639" w:rsidRDefault="00BC57AE" w:rsidP="007929EA">
      <w:pPr>
        <w:pStyle w:val="HUNNormal"/>
      </w:pPr>
      <w:r w:rsidRPr="00F64639">
        <w:t>A jogcím</w:t>
      </w:r>
      <w:r w:rsidR="007929EA" w:rsidRPr="00F64639">
        <w:t xml:space="preserve"> célcsoportja összetett, többségében mezőgazdasági termelést végzők és a feldolgozóipar egyaránt jogosult támogatási kérelem benyújtására. A két kategória közötti határt </w:t>
      </w:r>
      <w:r w:rsidR="00A55DD6" w:rsidRPr="00F64639">
        <w:t>a gazdaság egészére számított</w:t>
      </w:r>
      <w:r w:rsidR="007929EA" w:rsidRPr="00F64639">
        <w:t xml:space="preserve"> á</w:t>
      </w:r>
      <w:r w:rsidR="007929EA" w:rsidRPr="00F64639">
        <w:t>r</w:t>
      </w:r>
      <w:r w:rsidR="007929EA" w:rsidRPr="00F64639">
        <w:t>bevétel belső szerkezete határoz</w:t>
      </w:r>
      <w:r w:rsidRPr="00F64639">
        <w:t>za meg: az 50</w:t>
      </w:r>
      <w:r w:rsidR="007929EA" w:rsidRPr="00F64639">
        <w:t>%, vagy annál magasabb arányú nem- feldolgozott termék értékesítése esetén minősül a pályázó mezőgazdasági termelőnek. Ebben az esetben a támo</w:t>
      </w:r>
      <w:r w:rsidRPr="00F64639">
        <w:t>gatás intenz</w:t>
      </w:r>
      <w:r w:rsidRPr="00F64639">
        <w:t>i</w:t>
      </w:r>
      <w:r w:rsidRPr="00F64639">
        <w:t>tás alapértéke 40%</w:t>
      </w:r>
      <w:r w:rsidR="007929EA" w:rsidRPr="00F64639">
        <w:t>. A nem mezőgazdasági termelőknek minősülő pályázók esetében a támogatási intenz</w:t>
      </w:r>
      <w:r w:rsidR="007929EA" w:rsidRPr="00F64639">
        <w:t>i</w:t>
      </w:r>
      <w:r w:rsidR="007929EA" w:rsidRPr="00F64639">
        <w:t>tás álta</w:t>
      </w:r>
      <w:r w:rsidRPr="00F64639">
        <w:t>lános értéke 50</w:t>
      </w:r>
      <w:r w:rsidR="007929EA" w:rsidRPr="00F64639">
        <w:t xml:space="preserve">%. A pályázaton nem vehettek részt a 750 főnél több alkalmazottal, vagy 200 millió </w:t>
      </w:r>
      <w:r w:rsidRPr="00F64639">
        <w:t>euró</w:t>
      </w:r>
      <w:r w:rsidR="007929EA" w:rsidRPr="00F64639">
        <w:t>nál magasabb nettó árbevétellel rendelkező vállalkozások. Ez a megfogalmazás a hazai élelmiszeripar szerkezete miatt lényegében nem jelentett korlátozást, mivel ezt az árbevételi értéket néhány multinacion</w:t>
      </w:r>
      <w:r w:rsidR="007929EA" w:rsidRPr="00F64639">
        <w:t>á</w:t>
      </w:r>
      <w:r w:rsidR="007929EA" w:rsidRPr="00F64639">
        <w:t xml:space="preserve">lis dohányipari cég mellett </w:t>
      </w:r>
      <w:r w:rsidRPr="00F64639">
        <w:t>csak néhány vállalkozást érte el.</w:t>
      </w:r>
    </w:p>
    <w:p w:rsidR="007929EA" w:rsidRPr="00F64639" w:rsidRDefault="007929EA" w:rsidP="007929EA">
      <w:pPr>
        <w:pStyle w:val="HUNNormal"/>
      </w:pPr>
      <w:r w:rsidRPr="00F64639">
        <w:t>A Tanács 1698/2005 EK rendelete az intézkedés célcsoportját illetően rendkívül ellentmondásosan foga</w:t>
      </w:r>
      <w:r w:rsidRPr="00F64639">
        <w:t>l</w:t>
      </w:r>
      <w:r w:rsidRPr="00F64639">
        <w:t>mazott. A preambulumban az intézkedés céljának meghatározása során általában véve a helyi termékek értéknövelése terén jobb helyzetben lévő mikro-, kis- és középvállalkozásokra, valamint egy bizonyos mér</w:t>
      </w:r>
      <w:r w:rsidRPr="00F64639">
        <w:t>e</w:t>
      </w:r>
      <w:r w:rsidRPr="00F64639">
        <w:t xml:space="preserve">ten aluli egyéb vállalkozásokra összpontosít. Az intézkedésre vonatkozó konkrét 28. cikk. (3) bekezdésben </w:t>
      </w:r>
      <w:r w:rsidRPr="00F64639">
        <w:lastRenderedPageBreak/>
        <w:t xml:space="preserve">ugyanakkor a pályázók lehetséges körét egyfelől a </w:t>
      </w:r>
      <w:proofErr w:type="spellStart"/>
      <w:r w:rsidRPr="00F64639">
        <w:t>KKV-kre</w:t>
      </w:r>
      <w:proofErr w:type="spellEnd"/>
      <w:r w:rsidRPr="00F64639">
        <w:t xml:space="preserve"> korlátozza, utalva a Bizottság 361/2003 ajánl</w:t>
      </w:r>
      <w:r w:rsidRPr="00F64639">
        <w:t>á</w:t>
      </w:r>
      <w:r w:rsidRPr="00F64639">
        <w:t xml:space="preserve">sában szereplő definícióra (250 főnél kevesebb az alkalmazott, illetve árbevétel 50 millió </w:t>
      </w:r>
      <w:r w:rsidR="0022006B" w:rsidRPr="00F64639">
        <w:t>EUR</w:t>
      </w:r>
      <w:r w:rsidRPr="00F64639">
        <w:t xml:space="preserve"> alatt). Ugya</w:t>
      </w:r>
      <w:r w:rsidRPr="00F64639">
        <w:t>n</w:t>
      </w:r>
      <w:r w:rsidRPr="00F64639">
        <w:t xml:space="preserve">akkor megfogalmazásra kerül az is, az e méret feletti, de 750 főnél kevesebb alkalmazottat foglalkoztató, és 200 millió </w:t>
      </w:r>
      <w:r w:rsidR="00BC57AE" w:rsidRPr="00F64639">
        <w:t>euró</w:t>
      </w:r>
      <w:r w:rsidRPr="00F64639">
        <w:t>nál alacsonyabb árbevétellel rendelkező vállalkozások (nagyvállalatok) esetében a támog</w:t>
      </w:r>
      <w:r w:rsidRPr="00F64639">
        <w:t>a</w:t>
      </w:r>
      <w:r w:rsidR="00C94E11" w:rsidRPr="00F64639">
        <w:t>tás intenzitása megfeleződik.</w:t>
      </w:r>
    </w:p>
    <w:p w:rsidR="00BC57AE" w:rsidRPr="00F64639" w:rsidRDefault="00BC57AE" w:rsidP="007929EA">
      <w:pPr>
        <w:pStyle w:val="HUNNormal"/>
      </w:pPr>
      <w:bookmarkStart w:id="18" w:name="OLE_LINK3"/>
      <w:bookmarkStart w:id="19" w:name="OLE_LINK4"/>
      <w:r w:rsidRPr="00F64639">
        <w:rPr>
          <w:b/>
        </w:rPr>
        <w:t>Az IIER adatai alapján megállapítható, hogy a jogcímben támogatottak 11%-a magánszemély, 89%-a szerv</w:t>
      </w:r>
      <w:r w:rsidRPr="00F64639">
        <w:rPr>
          <w:b/>
        </w:rPr>
        <w:t>e</w:t>
      </w:r>
      <w:r w:rsidRPr="00F64639">
        <w:rPr>
          <w:b/>
        </w:rPr>
        <w:t>zet.</w:t>
      </w:r>
      <w:r w:rsidRPr="00F64639">
        <w:t xml:space="preserve"> A szervezeteken belül 37%-os arányt képviselnek a </w:t>
      </w:r>
      <w:r w:rsidR="0049268A" w:rsidRPr="00F64639">
        <w:t>kisvállalkozások</w:t>
      </w:r>
      <w:r w:rsidRPr="00F64639">
        <w:t xml:space="preserve">, 15%-ot a középvállalkozások, és 12%-ot a </w:t>
      </w:r>
      <w:proofErr w:type="gramStart"/>
      <w:r w:rsidRPr="00F64639">
        <w:t>nagyvállalkozások</w:t>
      </w:r>
      <w:r w:rsidR="0049268A" w:rsidRPr="00F64639">
        <w:rPr>
          <w:rStyle w:val="FootnoteReference"/>
        </w:rPr>
        <w:footnoteReference w:id="87"/>
      </w:r>
      <w:r w:rsidRPr="00F64639">
        <w:t>.</w:t>
      </w:r>
      <w:proofErr w:type="gramEnd"/>
    </w:p>
    <w:bookmarkEnd w:id="18"/>
    <w:bookmarkEnd w:id="19"/>
    <w:p w:rsidR="007929EA" w:rsidRPr="00F64639" w:rsidRDefault="007929EA" w:rsidP="007929EA">
      <w:pPr>
        <w:pStyle w:val="HUNNormal"/>
      </w:pPr>
      <w:r w:rsidRPr="00F64639">
        <w:rPr>
          <w:b/>
        </w:rPr>
        <w:t xml:space="preserve">A program kiemelten támogatja a feldolgozóipar egyes ágazataiban megvalósuló </w:t>
      </w:r>
      <w:proofErr w:type="gramStart"/>
      <w:r w:rsidRPr="00F64639">
        <w:rPr>
          <w:b/>
        </w:rPr>
        <w:t>fejlesztéseket</w:t>
      </w:r>
      <w:r w:rsidR="00FD163A" w:rsidRPr="00F64639">
        <w:rPr>
          <w:rStyle w:val="FootnoteReference"/>
        </w:rPr>
        <w:footnoteReference w:id="88"/>
      </w:r>
      <w:r w:rsidRPr="00F64639">
        <w:t>.</w:t>
      </w:r>
      <w:proofErr w:type="gramEnd"/>
      <w:r w:rsidR="000970F8" w:rsidRPr="00F64639">
        <w:t xml:space="preserve"> </w:t>
      </w:r>
      <w:r w:rsidRPr="00F64639">
        <w:t>Az inté</w:t>
      </w:r>
      <w:r w:rsidRPr="00F64639">
        <w:t>z</w:t>
      </w:r>
      <w:r w:rsidRPr="00F64639">
        <w:t>kedés végrehajtásának alapjául a 47/2008 (IV.17.) FVM rendelet szolgál. A rendelet, és az 53/2008 (IV.28.) MVH közlemény alapján az első pályázatokat 2008.</w:t>
      </w:r>
      <w:r w:rsidR="00804F3A" w:rsidRPr="00F64639">
        <w:t>05.0</w:t>
      </w:r>
      <w:r w:rsidRPr="00F64639">
        <w:t xml:space="preserve">5. és </w:t>
      </w:r>
      <w:r w:rsidR="00804F3A" w:rsidRPr="00F64639">
        <w:t>2008.06.</w:t>
      </w:r>
      <w:r w:rsidRPr="00F64639">
        <w:t>16. között lehetett benyújtani, a t</w:t>
      </w:r>
      <w:r w:rsidRPr="00F64639">
        <w:t>á</w:t>
      </w:r>
      <w:r w:rsidRPr="00F64639">
        <w:t xml:space="preserve">mogatási határozatok kiadásának átfutási idejét (átlagosan 206 </w:t>
      </w:r>
      <w:r w:rsidR="00804F3A" w:rsidRPr="00F64639">
        <w:t xml:space="preserve">naptári </w:t>
      </w:r>
      <w:r w:rsidRPr="00F64639">
        <w:t xml:space="preserve">nap) figyelembe véve </w:t>
      </w:r>
      <w:r w:rsidRPr="00F64639">
        <w:rPr>
          <w:b/>
        </w:rPr>
        <w:t>a beruház</w:t>
      </w:r>
      <w:r w:rsidRPr="00F64639">
        <w:rPr>
          <w:b/>
        </w:rPr>
        <w:t>á</w:t>
      </w:r>
      <w:r w:rsidRPr="00F64639">
        <w:rPr>
          <w:b/>
        </w:rPr>
        <w:t>sok csak 2009 I. félévében indulhattak meg</w:t>
      </w:r>
      <w:r w:rsidRPr="00F64639">
        <w:t>. Az értékelés során a forrás eredetének (121.5</w:t>
      </w:r>
      <w:r w:rsidR="00FC1CA0" w:rsidRPr="00F64639">
        <w:t xml:space="preserve"> </w:t>
      </w:r>
      <w:r w:rsidRPr="00F64639">
        <w:t>vagy 123.1 i</w:t>
      </w:r>
      <w:r w:rsidRPr="00F64639">
        <w:t>n</w:t>
      </w:r>
      <w:r w:rsidRPr="00F64639">
        <w:t>tézkedés) meghatározásához, és az ehhez kapcsolódó nyilatkozathoz szükséges 50 %-os határ értelmezése és számítása a pályázók és az értékelők számára (is) gondot okozott, ezér</w:t>
      </w:r>
      <w:r w:rsidR="00A55DD6" w:rsidRPr="00F64639">
        <w:t>t az MVH a 147</w:t>
      </w:r>
      <w:r w:rsidRPr="00F64639">
        <w:t xml:space="preserve">/2009 (X.19.) MVH </w:t>
      </w:r>
      <w:r w:rsidR="00FC1CA0" w:rsidRPr="00F64639">
        <w:t>közlemény formájában</w:t>
      </w:r>
      <w:r w:rsidRPr="00F64639">
        <w:t xml:space="preserve"> pontosította az elhatárolás alapjául szolgáló terméklap pontos kitöltéséhez. A jogcí</w:t>
      </w:r>
      <w:r w:rsidRPr="00F64639">
        <w:t>m</w:t>
      </w:r>
      <w:r w:rsidRPr="00F64639">
        <w:t xml:space="preserve">re beérkezett támogatási kérelmeket az MVH regionális szervei bírálták el, majd e döntés- előkészítés után az </w:t>
      </w:r>
      <w:r w:rsidR="00FC1CA0" w:rsidRPr="00F64639">
        <w:t>MVH központ hozott határozatot.</w:t>
      </w:r>
    </w:p>
    <w:p w:rsidR="00FC1CA0" w:rsidRPr="00F64639" w:rsidRDefault="005B49F8" w:rsidP="007929EA">
      <w:pPr>
        <w:pStyle w:val="HUNNormal"/>
      </w:pPr>
      <w:r w:rsidRPr="00F64639">
        <w:t>Ami a jóváhagyott támogatási kérelmek megyei megoszlását illeti, megállapítható, hogy a legtöbb kérelem Bács-Kiskun megyéből érkezett (13,32%), míg a legkevesebb Nógrád, Komárom-Esztergom és Zala megyé</w:t>
      </w:r>
      <w:r w:rsidRPr="00F64639">
        <w:t>k</w:t>
      </w:r>
      <w:r w:rsidRPr="00F64639">
        <w:t>ből (rendre 1,01%, 1,35% és 1,85%). Érdekességképp megemlítendő, hogy Budapest, Borsod-Abaúj-Zemplén, Szabolcs-Szatmár-Bereg és Baranya megyék szinte „fej-fej mellet haladnak (rendre 7,59%, 7,76%, 7,76% és 7,93%). A jóváhagyott kérelmek kevesebb, mint fele származott hátrányos helyzetű, LHH vagy komplex LHH kistérségből (LHH és komplex LHH együtt 20,23%).</w:t>
      </w:r>
    </w:p>
    <w:p w:rsidR="007929EA" w:rsidRPr="00F64639" w:rsidRDefault="007929EA" w:rsidP="007929EA">
      <w:pPr>
        <w:pStyle w:val="HUNNormal"/>
      </w:pPr>
      <w:r w:rsidRPr="00F64639">
        <w:t>A jogszabályban rögzített értékelési szempontokban az üzleti terv és a pénzügyi terv együttesen 60 pontot képviselt. A pontozásban a szakmapolitikai, a foglalkoztatási, és az esélyegyenlőségi szempontok azonos súllyal (20-20 pont) szerepeltek. A pontozás (önálló célterületként) a vágópontok létrehozásával és korsz</w:t>
      </w:r>
      <w:r w:rsidRPr="00F64639">
        <w:t>e</w:t>
      </w:r>
      <w:r w:rsidRPr="00F64639">
        <w:t xml:space="preserve">rűsítésével külön preferenciát adott a húsfeldolgozásnak. Ugyanakkor a hús és tej ágazatok országos szintű kapacitásbővítésének </w:t>
      </w:r>
      <w:r w:rsidR="000E02BE">
        <w:t xml:space="preserve">részleges </w:t>
      </w:r>
      <w:r w:rsidRPr="00F64639">
        <w:t>kizárása</w:t>
      </w:r>
      <w:r w:rsidR="000E02BE">
        <w:rPr>
          <w:rStyle w:val="FootnoteReference"/>
        </w:rPr>
        <w:footnoteReference w:id="89"/>
      </w:r>
      <w:r w:rsidRPr="00F64639">
        <w:t xml:space="preserve"> bizonyos korlátokat is jelentett a kiemelt ágazat szereplői szám</w:t>
      </w:r>
      <w:r w:rsidRPr="00F64639">
        <w:t>á</w:t>
      </w:r>
      <w:r w:rsidRPr="00F64639">
        <w:t>ra. A termelői együttműködés preferenciája kapcsán ellentmondásos volt, hogy a termelői csoportbeli tagság előnyt jelentett a termelői csoportként való pályázathoz viszonyítva, jóllehet ez a hatékony üzemméretek szempont</w:t>
      </w:r>
      <w:r w:rsidR="00295521" w:rsidRPr="00F64639">
        <w:t>jából kedvezőbb lenne.</w:t>
      </w:r>
    </w:p>
    <w:p w:rsidR="00727E90" w:rsidRPr="00F64639" w:rsidRDefault="00DD4043" w:rsidP="007929EA">
      <w:pPr>
        <w:pStyle w:val="HUNNormal"/>
      </w:pPr>
      <w:r w:rsidRPr="00F64639">
        <w:t>Az átfutási idők vizsgálata során megállapítottuk, hogy a támogatási kérelmek elbírálása rendkívül lassan haladt: a beérkezéstől számított 206 naptári napot vett igénybe, míg egy kifizetési kérelem feldolgozása „csak” 93 naptári napot. Amennyiben a támogatási kérelmek átfutási idejének belső szerkezetét vizsgáljuk, a helyzet némileg kedvezőbb (azonban csak 664 db kérelmet tudtunk így vizsgálni): az átlagos teljes átfutási idő 187 nap, melyből 164 nap az MVH, 7 nap az Irányító Hatóság és 17 nap az ügyfél „számlájára írható”.</w:t>
      </w:r>
    </w:p>
    <w:p w:rsidR="007929EA" w:rsidRPr="00F64639" w:rsidRDefault="007929EA" w:rsidP="007929EA">
      <w:pPr>
        <w:pStyle w:val="HUNNormal"/>
      </w:pPr>
      <w:r w:rsidRPr="00F64639">
        <w:lastRenderedPageBreak/>
        <w:t>A benyújtott kérel</w:t>
      </w:r>
      <w:r w:rsidR="00C24E0A" w:rsidRPr="00F64639">
        <w:t>m</w:t>
      </w:r>
      <w:r w:rsidRPr="00F64639">
        <w:t>e</w:t>
      </w:r>
      <w:r w:rsidR="00C24E0A" w:rsidRPr="00F64639">
        <w:t>k</w:t>
      </w:r>
      <w:r w:rsidRPr="00F64639">
        <w:t xml:space="preserve">ből </w:t>
      </w:r>
      <w:r w:rsidR="00C24E0A" w:rsidRPr="00F64639">
        <w:t>hozzávetőlegesen 600</w:t>
      </w:r>
      <w:r w:rsidRPr="00F64639">
        <w:t xml:space="preserve"> zárult támogatási határozattal. (Az ÚMVP eredményindik</w:t>
      </w:r>
      <w:r w:rsidRPr="00F64639">
        <w:t>á</w:t>
      </w:r>
      <w:r w:rsidRPr="00F64639">
        <w:t>tora a teljes időszakra 900 vállalkozás támogatását tervezte, ami időarányosnak lenne tekinthető, ám a közel 93 %-os forráslekötöttség következtében ennek elérése kevéssé reális.) A fejlesztésekre jóváhagyott támogatási összeg</w:t>
      </w:r>
      <w:r w:rsidR="00295521" w:rsidRPr="00F64639">
        <w:t xml:space="preserve"> hozzávetőlegesen</w:t>
      </w:r>
      <w:r w:rsidRPr="00F64639">
        <w:t xml:space="preserve"> 290 millió </w:t>
      </w:r>
      <w:r w:rsidR="0022006B" w:rsidRPr="00F64639">
        <w:t>EUR</w:t>
      </w:r>
      <w:r w:rsidRPr="00F64639">
        <w:t>, amelynek mintegy 95%-</w:t>
      </w:r>
      <w:proofErr w:type="gramStart"/>
      <w:r w:rsidRPr="00F64639">
        <w:t>a</w:t>
      </w:r>
      <w:proofErr w:type="gramEnd"/>
      <w:r w:rsidRPr="00F64639">
        <w:t xml:space="preserve"> a 123.1 intézkedés keretét, 5 %-a a 12</w:t>
      </w:r>
      <w:r w:rsidR="00295521" w:rsidRPr="00F64639">
        <w:t>1.5 intézkedés keretét terheli.</w:t>
      </w:r>
    </w:p>
    <w:p w:rsidR="007929EA" w:rsidRPr="00F64639" w:rsidRDefault="007929EA" w:rsidP="007929EA">
      <w:pPr>
        <w:pStyle w:val="HUNNormal"/>
      </w:pPr>
      <w:r w:rsidRPr="00F64639">
        <w:rPr>
          <w:b/>
        </w:rPr>
        <w:t xml:space="preserve">A támogatott </w:t>
      </w:r>
      <w:r w:rsidR="00295521" w:rsidRPr="00F64639">
        <w:rPr>
          <w:b/>
        </w:rPr>
        <w:t xml:space="preserve">kérelmek </w:t>
      </w:r>
      <w:r w:rsidRPr="00F64639">
        <w:rPr>
          <w:b/>
        </w:rPr>
        <w:t>ágazat</w:t>
      </w:r>
      <w:r w:rsidR="00295521" w:rsidRPr="00F64639">
        <w:rPr>
          <w:b/>
        </w:rPr>
        <w:t>i</w:t>
      </w:r>
      <w:r w:rsidRPr="00F64639">
        <w:rPr>
          <w:b/>
        </w:rPr>
        <w:t xml:space="preserve"> megoszlásában a bor ágazat dominál, a </w:t>
      </w:r>
      <w:r w:rsidR="00295521" w:rsidRPr="00F64639">
        <w:rPr>
          <w:b/>
        </w:rPr>
        <w:t>kérelmek</w:t>
      </w:r>
      <w:r w:rsidRPr="00F64639">
        <w:rPr>
          <w:b/>
        </w:rPr>
        <w:t xml:space="preserve"> </w:t>
      </w:r>
      <w:proofErr w:type="gramStart"/>
      <w:r w:rsidRPr="00F64639">
        <w:rPr>
          <w:b/>
        </w:rPr>
        <w:t>több,</w:t>
      </w:r>
      <w:r w:rsidR="00295521" w:rsidRPr="00F64639">
        <w:rPr>
          <w:b/>
        </w:rPr>
        <w:t xml:space="preserve"> </w:t>
      </w:r>
      <w:r w:rsidRPr="00F64639">
        <w:rPr>
          <w:b/>
        </w:rPr>
        <w:t>mint</w:t>
      </w:r>
      <w:proofErr w:type="gramEnd"/>
      <w:r w:rsidRPr="00F64639">
        <w:rPr>
          <w:b/>
        </w:rPr>
        <w:t xml:space="preserve"> egyharmadát képviselve.</w:t>
      </w:r>
      <w:r w:rsidRPr="00F64639">
        <w:t xml:space="preserve"> A hús ágazat a pontozási preferencia révén viszonylag szintén jelentős támogatásban részesült, bár az IH képviselője szerint ennek (és a tej ágazatnak) fejlesztése nagyobb hangsúlyt érdemelt </w:t>
      </w:r>
      <w:r w:rsidR="00295521" w:rsidRPr="00F64639">
        <w:t>volna.</w:t>
      </w:r>
      <w:r w:rsidRPr="00F64639">
        <w:t xml:space="preserve"> Az iparágak közötti megoszlást az I. körös kérelmekre vonatkozóan</w:t>
      </w:r>
      <w:r w:rsidRPr="00F64639">
        <w:rPr>
          <w:vertAlign w:val="superscript"/>
        </w:rPr>
        <w:footnoteReference w:id="90"/>
      </w:r>
      <w:r w:rsidRPr="00F64639">
        <w:t xml:space="preserve"> </w:t>
      </w:r>
      <w:r w:rsidR="00603EA6" w:rsidRPr="00F64639">
        <w:t>a következő ábra</w:t>
      </w:r>
      <w:r w:rsidRPr="00F64639">
        <w:t xml:space="preserve"> mutatja.</w:t>
      </w:r>
    </w:p>
    <w:p w:rsidR="00603EA6" w:rsidRPr="00F64639" w:rsidRDefault="00374E45" w:rsidP="00C94E11">
      <w:pPr>
        <w:pStyle w:val="HUNNormal"/>
        <w:tabs>
          <w:tab w:val="left" w:pos="709"/>
        </w:tabs>
        <w:jc w:val="center"/>
      </w:pPr>
      <w:r w:rsidRPr="00F64639">
        <w:rPr>
          <w:noProof/>
        </w:rPr>
        <w:drawing>
          <wp:inline distT="0" distB="0" distL="0" distR="0">
            <wp:extent cx="5420614" cy="3107756"/>
            <wp:effectExtent l="57150" t="19050" r="256286" b="149794"/>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0475" w:rsidRPr="00F64639" w:rsidRDefault="00075A29" w:rsidP="00C94E11">
      <w:pPr>
        <w:pStyle w:val="Caption"/>
        <w:spacing w:before="60" w:after="120" w:line="280" w:lineRule="atLeast"/>
        <w:jc w:val="center"/>
        <w:rPr>
          <w:color w:val="auto"/>
        </w:rPr>
      </w:pPr>
      <w:r w:rsidRPr="00F64639">
        <w:rPr>
          <w:color w:val="auto"/>
        </w:rPr>
        <w:fldChar w:fldCharType="begin"/>
      </w:r>
      <w:r w:rsidR="00C94E11" w:rsidRPr="00F64639">
        <w:rPr>
          <w:color w:val="auto"/>
        </w:rPr>
        <w:instrText xml:space="preserve"> SEQ ábra \* ARABIC </w:instrText>
      </w:r>
      <w:r w:rsidRPr="00F64639">
        <w:rPr>
          <w:color w:val="auto"/>
        </w:rPr>
        <w:fldChar w:fldCharType="separate"/>
      </w:r>
      <w:r w:rsidR="00E30745" w:rsidRPr="00F64639">
        <w:rPr>
          <w:noProof/>
          <w:color w:val="auto"/>
        </w:rPr>
        <w:t>3</w:t>
      </w:r>
      <w:r w:rsidRPr="00F64639">
        <w:rPr>
          <w:color w:val="auto"/>
        </w:rPr>
        <w:fldChar w:fldCharType="end"/>
      </w:r>
      <w:r w:rsidR="00C94E11" w:rsidRPr="00F64639">
        <w:rPr>
          <w:color w:val="auto"/>
        </w:rPr>
        <w:t>. ábra: ÉLIP támogatottak iparági megoszlása</w:t>
      </w:r>
    </w:p>
    <w:p w:rsidR="007929EA" w:rsidRPr="00F64639" w:rsidRDefault="007929EA" w:rsidP="00603EA6">
      <w:pPr>
        <w:pStyle w:val="HUNNormal"/>
        <w:tabs>
          <w:tab w:val="left" w:pos="709"/>
        </w:tabs>
      </w:pPr>
      <w:r w:rsidRPr="00F64639">
        <w:t>A 121.5 intézkedés keretösszegét érintő diverzifikációs pályázatokból 47,5% lett sikeres, míg a 123.1 inté</w:t>
      </w:r>
      <w:r w:rsidRPr="00F64639">
        <w:t>z</w:t>
      </w:r>
      <w:r w:rsidRPr="00F64639">
        <w:t xml:space="preserve">kedésre jogosultak esetében ez az arány 54,5 %. A különbség </w:t>
      </w:r>
      <w:r w:rsidR="009036DA" w:rsidRPr="00F64639">
        <w:t>o</w:t>
      </w:r>
      <w:r w:rsidRPr="00F64639">
        <w:t>kait csak mélyebb elemzés tudja kimutatni, ami elősegítheti a jogcím további kezelését is. Az elnyert pályázatok megvalósulását gátló, a gazdasági vá</w:t>
      </w:r>
      <w:r w:rsidRPr="00F64639">
        <w:t>l</w:t>
      </w:r>
      <w:r w:rsidRPr="00F64639">
        <w:t>ság következtében fellépő finanszírozási nehézségeket a támogatási előleg nyújtása jelentősen csökkente</w:t>
      </w:r>
      <w:r w:rsidRPr="00F64639">
        <w:t>t</w:t>
      </w:r>
      <w:r w:rsidRPr="00F64639">
        <w:t xml:space="preserve">te. A 2010. évi rendkívüli terméskörülmények várhatóan számos </w:t>
      </w:r>
      <w:r w:rsidR="00F253F7" w:rsidRPr="00F64639">
        <w:t>esetben rontják a támogatott vállalkozások helyzetét</w:t>
      </w:r>
      <w:r w:rsidRPr="00F64639">
        <w:t xml:space="preserve">, ami a </w:t>
      </w:r>
      <w:r w:rsidR="00F253F7" w:rsidRPr="00F64639">
        <w:t>projektek</w:t>
      </w:r>
      <w:r w:rsidRPr="00F64639">
        <w:t xml:space="preserve"> teljesülését hátráltatja. A fejlesztések megvalósulása várhatóan ugyanakkor er</w:t>
      </w:r>
      <w:r w:rsidRPr="00F64639">
        <w:t>ő</w:t>
      </w:r>
      <w:r w:rsidRPr="00F64639">
        <w:t xml:space="preserve">sen függ az adott ágazat piaci helyzetének alakulásától. Tekintettel a pályázati támogatások megítélése óta eltelt rövid időre mindössze 51,5 millió </w:t>
      </w:r>
      <w:r w:rsidR="0022006B" w:rsidRPr="00F64639">
        <w:t>EUR</w:t>
      </w:r>
      <w:r w:rsidRPr="00F64639">
        <w:t xml:space="preserve"> kifizetésre került sor, ezért az intézkedések várt közvetlen és közvetet</w:t>
      </w:r>
      <w:r w:rsidR="009036DA" w:rsidRPr="00F64639">
        <w:t xml:space="preserve">t hatásainak elemzésére csak további </w:t>
      </w:r>
      <w:r w:rsidRPr="00F64639">
        <w:t>értékelés</w:t>
      </w:r>
      <w:r w:rsidR="009036DA" w:rsidRPr="00F64639">
        <w:t>ek</w:t>
      </w:r>
      <w:r w:rsidRPr="00F64639">
        <w:t xml:space="preserve"> kereté</w:t>
      </w:r>
      <w:r w:rsidR="00603EA6" w:rsidRPr="00F64639">
        <w:t>ben nyílik reális lehetőség.</w:t>
      </w:r>
    </w:p>
    <w:p w:rsidR="00836285" w:rsidRPr="00F64639" w:rsidRDefault="00836285" w:rsidP="00603EA6">
      <w:pPr>
        <w:pStyle w:val="HUNNormal"/>
        <w:tabs>
          <w:tab w:val="left" w:pos="709"/>
        </w:tabs>
      </w:pPr>
      <w:r w:rsidRPr="00F64639">
        <w:t>A támogatott kérelmek költségszerkezetének vizsgálata a költségkategóriák szerinti megoszlást</w:t>
      </w:r>
      <w:r w:rsidR="00A21BD8" w:rsidRPr="00F64639">
        <w:rPr>
          <w:rStyle w:val="FootnoteReference"/>
        </w:rPr>
        <w:footnoteReference w:id="91"/>
      </w:r>
      <w:r w:rsidRPr="00F64639">
        <w:t xml:space="preserve"> az alább</w:t>
      </w:r>
      <w:r w:rsidRPr="00F64639">
        <w:t>i</w:t>
      </w:r>
      <w:r w:rsidRPr="00F64639">
        <w:t>ak szerint mutatta:</w:t>
      </w:r>
    </w:p>
    <w:tbl>
      <w:tblPr>
        <w:tblW w:w="0" w:type="auto"/>
        <w:jc w:val="center"/>
        <w:tblInd w:w="-2741" w:type="dxa"/>
        <w:tblLayout w:type="fixed"/>
        <w:tblLook w:val="04A0"/>
      </w:tblPr>
      <w:tblGrid>
        <w:gridCol w:w="4261"/>
        <w:gridCol w:w="2448"/>
      </w:tblGrid>
      <w:tr w:rsidR="00836285" w:rsidRPr="00F64639" w:rsidTr="002F783E">
        <w:trPr>
          <w:trHeight w:val="255"/>
          <w:jc w:val="center"/>
        </w:trPr>
        <w:tc>
          <w:tcPr>
            <w:tcW w:w="4261" w:type="dxa"/>
            <w:tcBorders>
              <w:bottom w:val="single" w:sz="12" w:space="0" w:color="FFFFFF"/>
            </w:tcBorders>
            <w:shd w:val="clear" w:color="auto" w:fill="9E3A38"/>
            <w:noWrap/>
            <w:vAlign w:val="center"/>
            <w:hideMark/>
          </w:tcPr>
          <w:p w:rsidR="00836285" w:rsidRPr="00F64639" w:rsidRDefault="00A21BD8" w:rsidP="002F783E">
            <w:pPr>
              <w:jc w:val="center"/>
              <w:rPr>
                <w:b/>
                <w:bCs/>
                <w:color w:val="FFFFFF"/>
                <w:sz w:val="18"/>
                <w:szCs w:val="18"/>
              </w:rPr>
            </w:pPr>
            <w:r w:rsidRPr="00F64639">
              <w:rPr>
                <w:b/>
                <w:bCs/>
                <w:color w:val="FFFFFF"/>
                <w:sz w:val="18"/>
                <w:szCs w:val="18"/>
              </w:rPr>
              <w:lastRenderedPageBreak/>
              <w:t>Kiadási főcsoportok</w:t>
            </w:r>
          </w:p>
        </w:tc>
        <w:tc>
          <w:tcPr>
            <w:tcW w:w="2448" w:type="dxa"/>
            <w:tcBorders>
              <w:bottom w:val="single" w:sz="12" w:space="0" w:color="FFFFFF"/>
            </w:tcBorders>
            <w:shd w:val="clear" w:color="auto" w:fill="9E3A38"/>
            <w:noWrap/>
            <w:vAlign w:val="center"/>
            <w:hideMark/>
          </w:tcPr>
          <w:p w:rsidR="00836285" w:rsidRPr="00F64639" w:rsidRDefault="00A21BD8" w:rsidP="002F783E">
            <w:pPr>
              <w:jc w:val="center"/>
              <w:rPr>
                <w:b/>
                <w:bCs/>
                <w:color w:val="FFFFFF"/>
                <w:sz w:val="18"/>
                <w:szCs w:val="18"/>
              </w:rPr>
            </w:pPr>
            <w:r w:rsidRPr="00F64639">
              <w:rPr>
                <w:b/>
                <w:bCs/>
                <w:color w:val="FFFFFF"/>
                <w:sz w:val="18"/>
                <w:szCs w:val="18"/>
              </w:rPr>
              <w:t>Megítélt támogatás</w:t>
            </w:r>
          </w:p>
        </w:tc>
      </w:tr>
      <w:tr w:rsidR="00836285" w:rsidRPr="00F64639" w:rsidTr="002F783E">
        <w:trPr>
          <w:trHeight w:val="255"/>
          <w:jc w:val="center"/>
        </w:trPr>
        <w:tc>
          <w:tcPr>
            <w:tcW w:w="4261" w:type="dxa"/>
            <w:shd w:val="clear" w:color="auto" w:fill="F2DBDB"/>
            <w:noWrap/>
            <w:hideMark/>
          </w:tcPr>
          <w:p w:rsidR="00836285" w:rsidRPr="00F64639" w:rsidRDefault="00836285" w:rsidP="002F783E">
            <w:pPr>
              <w:jc w:val="both"/>
              <w:rPr>
                <w:b/>
                <w:bCs/>
                <w:color w:val="000000"/>
                <w:sz w:val="16"/>
                <w:szCs w:val="16"/>
              </w:rPr>
            </w:pPr>
            <w:r w:rsidRPr="00F64639">
              <w:rPr>
                <w:b/>
                <w:bCs/>
                <w:color w:val="000000"/>
                <w:sz w:val="16"/>
                <w:szCs w:val="16"/>
              </w:rPr>
              <w:t>Gépkatalógusból végzett beszerzés</w:t>
            </w:r>
          </w:p>
        </w:tc>
        <w:tc>
          <w:tcPr>
            <w:tcW w:w="2448" w:type="dxa"/>
            <w:shd w:val="clear" w:color="auto" w:fill="F2DBDB"/>
            <w:noWrap/>
            <w:vAlign w:val="center"/>
            <w:hideMark/>
          </w:tcPr>
          <w:p w:rsidR="00836285" w:rsidRPr="00F64639" w:rsidRDefault="00836285" w:rsidP="002F783E">
            <w:pPr>
              <w:jc w:val="center"/>
              <w:rPr>
                <w:color w:val="000000"/>
                <w:sz w:val="16"/>
                <w:szCs w:val="16"/>
              </w:rPr>
            </w:pPr>
            <w:r w:rsidRPr="00F64639">
              <w:rPr>
                <w:color w:val="000000"/>
                <w:sz w:val="16"/>
                <w:szCs w:val="16"/>
              </w:rPr>
              <w:t>41 434 516 774 Ft</w:t>
            </w:r>
          </w:p>
        </w:tc>
      </w:tr>
      <w:tr w:rsidR="00836285" w:rsidRPr="00F64639" w:rsidTr="002F783E">
        <w:trPr>
          <w:trHeight w:val="255"/>
          <w:jc w:val="center"/>
        </w:trPr>
        <w:tc>
          <w:tcPr>
            <w:tcW w:w="4261" w:type="dxa"/>
            <w:shd w:val="clear" w:color="auto" w:fill="F8EDED"/>
            <w:noWrap/>
            <w:hideMark/>
          </w:tcPr>
          <w:p w:rsidR="00836285" w:rsidRPr="00F64639" w:rsidRDefault="00836285" w:rsidP="002F783E">
            <w:pPr>
              <w:jc w:val="both"/>
              <w:rPr>
                <w:b/>
                <w:bCs/>
                <w:color w:val="000000"/>
                <w:sz w:val="16"/>
                <w:szCs w:val="16"/>
              </w:rPr>
            </w:pPr>
            <w:proofErr w:type="spellStart"/>
            <w:r w:rsidRPr="00F64639">
              <w:rPr>
                <w:b/>
                <w:bCs/>
                <w:color w:val="000000"/>
                <w:sz w:val="16"/>
                <w:szCs w:val="16"/>
              </w:rPr>
              <w:t>ÉNGY-ból</w:t>
            </w:r>
            <w:proofErr w:type="spellEnd"/>
            <w:r w:rsidRPr="00F64639">
              <w:rPr>
                <w:b/>
                <w:bCs/>
                <w:color w:val="000000"/>
                <w:sz w:val="16"/>
                <w:szCs w:val="16"/>
              </w:rPr>
              <w:t xml:space="preserve"> végzett építési beruházás</w:t>
            </w:r>
          </w:p>
        </w:tc>
        <w:tc>
          <w:tcPr>
            <w:tcW w:w="2448" w:type="dxa"/>
            <w:shd w:val="clear" w:color="auto" w:fill="F8EDED"/>
            <w:noWrap/>
            <w:vAlign w:val="center"/>
            <w:hideMark/>
          </w:tcPr>
          <w:p w:rsidR="00836285" w:rsidRPr="00F64639" w:rsidRDefault="00836285" w:rsidP="002F783E">
            <w:pPr>
              <w:jc w:val="center"/>
              <w:rPr>
                <w:color w:val="000000"/>
                <w:sz w:val="16"/>
                <w:szCs w:val="16"/>
              </w:rPr>
            </w:pPr>
            <w:r w:rsidRPr="00F64639">
              <w:rPr>
                <w:color w:val="000000"/>
                <w:sz w:val="16"/>
                <w:szCs w:val="16"/>
              </w:rPr>
              <w:t>30 224 091 202 Ft</w:t>
            </w:r>
          </w:p>
        </w:tc>
      </w:tr>
      <w:tr w:rsidR="00836285" w:rsidRPr="00F64639" w:rsidTr="002F783E">
        <w:trPr>
          <w:trHeight w:val="255"/>
          <w:jc w:val="center"/>
        </w:trPr>
        <w:tc>
          <w:tcPr>
            <w:tcW w:w="4261" w:type="dxa"/>
            <w:shd w:val="clear" w:color="auto" w:fill="F2DBDB"/>
            <w:noWrap/>
            <w:hideMark/>
          </w:tcPr>
          <w:p w:rsidR="00836285" w:rsidRPr="00F64639" w:rsidRDefault="00836285" w:rsidP="002F783E">
            <w:pPr>
              <w:jc w:val="both"/>
              <w:rPr>
                <w:b/>
                <w:bCs/>
                <w:color w:val="000000"/>
                <w:sz w:val="16"/>
                <w:szCs w:val="16"/>
              </w:rPr>
            </w:pPr>
            <w:r w:rsidRPr="00F64639">
              <w:rPr>
                <w:b/>
                <w:bCs/>
                <w:color w:val="000000"/>
                <w:sz w:val="16"/>
                <w:szCs w:val="16"/>
              </w:rPr>
              <w:t>Árajánlatos tételek</w:t>
            </w:r>
          </w:p>
        </w:tc>
        <w:tc>
          <w:tcPr>
            <w:tcW w:w="2448" w:type="dxa"/>
            <w:shd w:val="clear" w:color="auto" w:fill="F2DBDB"/>
            <w:noWrap/>
            <w:vAlign w:val="center"/>
            <w:hideMark/>
          </w:tcPr>
          <w:p w:rsidR="00836285" w:rsidRPr="00F64639" w:rsidRDefault="00836285" w:rsidP="002F783E">
            <w:pPr>
              <w:jc w:val="center"/>
              <w:rPr>
                <w:color w:val="000000"/>
                <w:sz w:val="16"/>
                <w:szCs w:val="16"/>
              </w:rPr>
            </w:pPr>
            <w:r w:rsidRPr="00F64639">
              <w:rPr>
                <w:color w:val="000000"/>
                <w:sz w:val="16"/>
                <w:szCs w:val="16"/>
              </w:rPr>
              <w:t>10 500 000 Ft</w:t>
            </w:r>
          </w:p>
        </w:tc>
      </w:tr>
      <w:tr w:rsidR="00836285" w:rsidRPr="00F64639" w:rsidTr="002F783E">
        <w:trPr>
          <w:trHeight w:val="255"/>
          <w:jc w:val="center"/>
        </w:trPr>
        <w:tc>
          <w:tcPr>
            <w:tcW w:w="4261" w:type="dxa"/>
            <w:shd w:val="clear" w:color="auto" w:fill="F8EDED"/>
            <w:noWrap/>
            <w:hideMark/>
          </w:tcPr>
          <w:p w:rsidR="00836285" w:rsidRPr="00F64639" w:rsidRDefault="00836285" w:rsidP="002F783E">
            <w:pPr>
              <w:jc w:val="both"/>
              <w:rPr>
                <w:b/>
                <w:bCs/>
                <w:color w:val="000000"/>
                <w:sz w:val="16"/>
                <w:szCs w:val="16"/>
              </w:rPr>
            </w:pPr>
            <w:r w:rsidRPr="00F64639">
              <w:rPr>
                <w:b/>
                <w:bCs/>
                <w:color w:val="000000"/>
                <w:sz w:val="16"/>
                <w:szCs w:val="16"/>
              </w:rPr>
              <w:t>Egyéb beszerzések</w:t>
            </w:r>
          </w:p>
        </w:tc>
        <w:tc>
          <w:tcPr>
            <w:tcW w:w="2448" w:type="dxa"/>
            <w:shd w:val="clear" w:color="auto" w:fill="F8EDED"/>
            <w:noWrap/>
            <w:vAlign w:val="center"/>
            <w:hideMark/>
          </w:tcPr>
          <w:p w:rsidR="00836285" w:rsidRPr="00F64639" w:rsidRDefault="00836285" w:rsidP="002F783E">
            <w:pPr>
              <w:jc w:val="center"/>
              <w:rPr>
                <w:rFonts w:ascii="Calibri" w:hAnsi="Calibri"/>
                <w:color w:val="000000"/>
                <w:sz w:val="16"/>
                <w:szCs w:val="16"/>
              </w:rPr>
            </w:pPr>
            <w:r w:rsidRPr="00F64639">
              <w:rPr>
                <w:color w:val="000000"/>
                <w:sz w:val="16"/>
                <w:szCs w:val="16"/>
              </w:rPr>
              <w:t>520 338 834 Ft</w:t>
            </w:r>
          </w:p>
        </w:tc>
      </w:tr>
      <w:tr w:rsidR="00836285" w:rsidRPr="00F64639" w:rsidTr="002F783E">
        <w:trPr>
          <w:trHeight w:val="270"/>
          <w:jc w:val="center"/>
        </w:trPr>
        <w:tc>
          <w:tcPr>
            <w:tcW w:w="4261" w:type="dxa"/>
            <w:shd w:val="clear" w:color="auto" w:fill="F2DBDB"/>
            <w:noWrap/>
            <w:hideMark/>
          </w:tcPr>
          <w:p w:rsidR="00836285" w:rsidRPr="00F64639" w:rsidRDefault="00836285" w:rsidP="002F783E">
            <w:pPr>
              <w:jc w:val="both"/>
              <w:rPr>
                <w:b/>
                <w:bCs/>
                <w:color w:val="000000"/>
                <w:sz w:val="16"/>
                <w:szCs w:val="16"/>
              </w:rPr>
            </w:pPr>
            <w:r w:rsidRPr="00F64639">
              <w:rPr>
                <w:b/>
                <w:bCs/>
                <w:color w:val="000000"/>
                <w:sz w:val="16"/>
                <w:szCs w:val="16"/>
              </w:rPr>
              <w:t>N/</w:t>
            </w:r>
            <w:proofErr w:type="gramStart"/>
            <w:r w:rsidRPr="00F64639">
              <w:rPr>
                <w:b/>
                <w:bCs/>
                <w:color w:val="000000"/>
                <w:sz w:val="16"/>
                <w:szCs w:val="16"/>
              </w:rPr>
              <w:t>A</w:t>
            </w:r>
            <w:proofErr w:type="gramEnd"/>
          </w:p>
        </w:tc>
        <w:tc>
          <w:tcPr>
            <w:tcW w:w="2448" w:type="dxa"/>
            <w:shd w:val="clear" w:color="auto" w:fill="F2DBDB"/>
            <w:noWrap/>
            <w:vAlign w:val="center"/>
            <w:hideMark/>
          </w:tcPr>
          <w:p w:rsidR="00836285" w:rsidRPr="00F64639" w:rsidRDefault="00836285" w:rsidP="002F783E">
            <w:pPr>
              <w:jc w:val="center"/>
              <w:rPr>
                <w:color w:val="000000"/>
                <w:sz w:val="16"/>
                <w:szCs w:val="16"/>
              </w:rPr>
            </w:pPr>
            <w:r w:rsidRPr="00F64639">
              <w:rPr>
                <w:color w:val="000000"/>
                <w:sz w:val="16"/>
                <w:szCs w:val="16"/>
              </w:rPr>
              <w:t>667 500 Ft</w:t>
            </w:r>
          </w:p>
        </w:tc>
      </w:tr>
      <w:tr w:rsidR="00836285" w:rsidRPr="00F64639" w:rsidTr="002F783E">
        <w:trPr>
          <w:trHeight w:val="270"/>
          <w:jc w:val="center"/>
        </w:trPr>
        <w:tc>
          <w:tcPr>
            <w:tcW w:w="4261" w:type="dxa"/>
            <w:shd w:val="clear" w:color="auto" w:fill="F8EDED"/>
            <w:noWrap/>
            <w:hideMark/>
          </w:tcPr>
          <w:p w:rsidR="00836285" w:rsidRPr="00F64639" w:rsidRDefault="00836285" w:rsidP="002F783E">
            <w:pPr>
              <w:jc w:val="both"/>
              <w:rPr>
                <w:b/>
                <w:bCs/>
                <w:color w:val="000000"/>
                <w:sz w:val="16"/>
                <w:szCs w:val="16"/>
              </w:rPr>
            </w:pPr>
            <w:r w:rsidRPr="00F64639">
              <w:rPr>
                <w:b/>
                <w:bCs/>
                <w:color w:val="000000"/>
                <w:sz w:val="16"/>
                <w:szCs w:val="16"/>
              </w:rPr>
              <w:t>Összesen</w:t>
            </w:r>
          </w:p>
        </w:tc>
        <w:tc>
          <w:tcPr>
            <w:tcW w:w="2448" w:type="dxa"/>
            <w:shd w:val="clear" w:color="auto" w:fill="F8EDED"/>
            <w:noWrap/>
            <w:vAlign w:val="center"/>
            <w:hideMark/>
          </w:tcPr>
          <w:p w:rsidR="00836285" w:rsidRPr="00F64639" w:rsidRDefault="00836285" w:rsidP="002F783E">
            <w:pPr>
              <w:keepNext/>
              <w:jc w:val="center"/>
              <w:rPr>
                <w:b/>
                <w:bCs/>
                <w:color w:val="000000"/>
                <w:sz w:val="16"/>
                <w:szCs w:val="16"/>
              </w:rPr>
            </w:pPr>
            <w:r w:rsidRPr="00F64639">
              <w:rPr>
                <w:b/>
                <w:bCs/>
                <w:color w:val="000000"/>
                <w:sz w:val="16"/>
                <w:szCs w:val="16"/>
              </w:rPr>
              <w:t>76 526 536 681 Ft</w:t>
            </w:r>
          </w:p>
        </w:tc>
      </w:tr>
    </w:tbl>
    <w:p w:rsidR="00836285" w:rsidRPr="00F64639" w:rsidRDefault="00075A29" w:rsidP="00A21BD8">
      <w:pPr>
        <w:pStyle w:val="Caption"/>
        <w:spacing w:before="60" w:after="120" w:line="280" w:lineRule="atLeast"/>
        <w:jc w:val="center"/>
        <w:rPr>
          <w:color w:val="auto"/>
        </w:rPr>
      </w:pPr>
      <w:r w:rsidRPr="00F64639">
        <w:rPr>
          <w:color w:val="auto"/>
        </w:rPr>
        <w:fldChar w:fldCharType="begin"/>
      </w:r>
      <w:r w:rsidR="00A21BD8" w:rsidRPr="00F64639">
        <w:rPr>
          <w:color w:val="auto"/>
        </w:rPr>
        <w:instrText xml:space="preserve"> SEQ táblázat \* ARABIC </w:instrText>
      </w:r>
      <w:r w:rsidRPr="00F64639">
        <w:rPr>
          <w:color w:val="auto"/>
        </w:rPr>
        <w:fldChar w:fldCharType="separate"/>
      </w:r>
      <w:r w:rsidR="00E30745" w:rsidRPr="00F64639">
        <w:rPr>
          <w:noProof/>
          <w:color w:val="auto"/>
        </w:rPr>
        <w:t>35</w:t>
      </w:r>
      <w:r w:rsidRPr="00F64639">
        <w:rPr>
          <w:color w:val="auto"/>
        </w:rPr>
        <w:fldChar w:fldCharType="end"/>
      </w:r>
      <w:r w:rsidR="00A21BD8" w:rsidRPr="00F64639">
        <w:rPr>
          <w:color w:val="auto"/>
        </w:rPr>
        <w:t>. táblázat: ÉLIP kiadási tétel megoszlás</w:t>
      </w:r>
    </w:p>
    <w:p w:rsidR="00836285" w:rsidRPr="00F64639" w:rsidRDefault="00836285" w:rsidP="00603EA6">
      <w:pPr>
        <w:pStyle w:val="HUNNormal"/>
      </w:pPr>
    </w:p>
    <w:p w:rsidR="00E76D3B" w:rsidRPr="00F64639" w:rsidRDefault="00E76D3B" w:rsidP="00E76D3B">
      <w:pPr>
        <w:pStyle w:val="HUNNormal"/>
        <w:rPr>
          <w:b/>
        </w:rPr>
      </w:pPr>
      <w:r w:rsidRPr="00F64639">
        <w:rPr>
          <w:b/>
        </w:rPr>
        <w:t>Relevanciavizsgálat</w:t>
      </w:r>
    </w:p>
    <w:p w:rsidR="00E76D3B" w:rsidRPr="00F64639" w:rsidRDefault="002D3C76" w:rsidP="00603EA6">
      <w:pPr>
        <w:pStyle w:val="HUNNormal"/>
      </w:pPr>
      <w:r w:rsidRPr="00F64639">
        <w:t>Az intézkedést relevánsnak találtuk mind a versenyképesség, mind a foglalkoztatás szempontjából. A mez</w:t>
      </w:r>
      <w:r w:rsidRPr="00F64639">
        <w:t>ő</w:t>
      </w:r>
      <w:r w:rsidRPr="00F64639">
        <w:t>gazdasági termékek feldolgozottságának növelése a hazai szakpolitika egy legfontosabb célkitűzése, teki</w:t>
      </w:r>
      <w:r w:rsidRPr="00F64639">
        <w:t>n</w:t>
      </w:r>
      <w:r w:rsidRPr="00F64639">
        <w:t xml:space="preserve">tettel arra, hogy a magyar </w:t>
      </w:r>
      <w:proofErr w:type="spellStart"/>
      <w:r w:rsidRPr="00F64639">
        <w:t>agro-buisness</w:t>
      </w:r>
      <w:proofErr w:type="spellEnd"/>
      <w:r w:rsidRPr="00F64639">
        <w:t xml:space="preserve"> hozzáadott érték előállító képessége a szükségesnél alacsonyabb. Az ÚMVP output indikátorként a támogatott vállalkozások számát és méret szerinti megoszlását rögzítette. </w:t>
      </w:r>
      <w:r w:rsidR="00AE27BA" w:rsidRPr="00F64639">
        <w:t>900 darab vállalkozás támogatása volt a cél, amelyből 885 a kis (vagy mikro) vállalkozás, 10 a középválla</w:t>
      </w:r>
      <w:r w:rsidR="00AE27BA" w:rsidRPr="00F64639">
        <w:t>l</w:t>
      </w:r>
      <w:r w:rsidR="00AE27BA" w:rsidRPr="00F64639">
        <w:t>kozás, és 5 a nagyvállalkozás. Az eddig támogatott projektekben száma 511 db, 190 db kisvállalkozás, 76 közép és 61 nagyvállalkozás azonosítható be, miközben maradék vállalkozás szervezeti mérete nem azon</w:t>
      </w:r>
      <w:r w:rsidR="00AE27BA" w:rsidRPr="00F64639">
        <w:t>o</w:t>
      </w:r>
      <w:r w:rsidR="00AE27BA" w:rsidRPr="00F64639">
        <w:t>sítható be. Amennyiben feltételezzük, hogy ezek a vállalkozások is kisvállalkozások (legkedvezőbb helyzet), akkor sem követik le a támogatottak az output indikátor által kitűzött, a kis és középvállalkozásokat prefer</w:t>
      </w:r>
      <w:r w:rsidR="00AE27BA" w:rsidRPr="00F64639">
        <w:t>á</w:t>
      </w:r>
      <w:r w:rsidR="00AE27BA" w:rsidRPr="00F64639">
        <w:t>ló arányokat.</w:t>
      </w:r>
    </w:p>
    <w:p w:rsidR="00E76D3B" w:rsidRPr="00F64639" w:rsidRDefault="00E76D3B" w:rsidP="00603EA6">
      <w:pPr>
        <w:pStyle w:val="HUNNormal"/>
      </w:pPr>
    </w:p>
    <w:p w:rsidR="009036DA" w:rsidRPr="00F64639" w:rsidRDefault="009036DA" w:rsidP="00603EA6">
      <w:pPr>
        <w:pStyle w:val="HUNNormal"/>
        <w:rPr>
          <w:b/>
        </w:rPr>
      </w:pPr>
      <w:r w:rsidRPr="00F64639">
        <w:rPr>
          <w:b/>
        </w:rPr>
        <w:t>Hatásvizsgálat</w:t>
      </w:r>
    </w:p>
    <w:p w:rsidR="009036DA" w:rsidRPr="00F64639" w:rsidRDefault="00BF2C58" w:rsidP="00603EA6">
      <w:pPr>
        <w:pStyle w:val="HUNNormal"/>
      </w:pPr>
      <w:r w:rsidRPr="00F64639">
        <w:t>Az intézkedésben megvalósult projektek esetében a jövedelmezőségi és a foglalkoztatási hatásoka</w:t>
      </w:r>
      <w:r w:rsidR="00AA2539" w:rsidRPr="00F64639">
        <w:t>t tarto</w:t>
      </w:r>
      <w:r w:rsidR="00AA2539" w:rsidRPr="00F64639">
        <w:t>t</w:t>
      </w:r>
      <w:r w:rsidR="00AA2539" w:rsidRPr="00F64639">
        <w:t>tuk a legfontosabbnak a hatásútvonal elemezése alapján.</w:t>
      </w:r>
    </w:p>
    <w:p w:rsidR="00AA2539" w:rsidRPr="00F64639" w:rsidRDefault="00AA2539" w:rsidP="00603EA6">
      <w:pPr>
        <w:pStyle w:val="HUNNormal"/>
      </w:pPr>
      <w:r w:rsidRPr="00F64639">
        <w:t xml:space="preserve">Kísérletet tettünk rá, hogy </w:t>
      </w:r>
      <w:proofErr w:type="spellStart"/>
      <w:r w:rsidRPr="00F64639">
        <w:t>ökonometriai</w:t>
      </w:r>
      <w:proofErr w:type="spellEnd"/>
      <w:r w:rsidRPr="00F64639">
        <w:t xml:space="preserve"> eszközökkel vizsgáljuk a jövedelmezőséget és a foglalkoztatást. Ehhez az OPTEN adatbázis állt csak rendelkezésünkre, mivel az e-monitoring gazdálkodási adatainak me</w:t>
      </w:r>
      <w:r w:rsidRPr="00F64639">
        <w:t>g</w:t>
      </w:r>
      <w:r w:rsidRPr="00F64639">
        <w:t>bízhatósága kérdéses, a FADN adatbázisa pedig csak mezőgazdasági vállalkozásokat tartalmaz.</w:t>
      </w:r>
    </w:p>
    <w:p w:rsidR="00AA2539" w:rsidRPr="00F64639" w:rsidRDefault="00AA2539" w:rsidP="00AA2539">
      <w:pPr>
        <w:pStyle w:val="HUNNormal"/>
      </w:pPr>
      <w:r w:rsidRPr="00F64639">
        <w:t>A kontrollcsoportos vizsgálatához a jóváhagyott támogatási kérelmek, valamint az OPTEN Mérlegtár „Érték</w:t>
      </w:r>
      <w:r w:rsidRPr="00F64639">
        <w:t>e</w:t>
      </w:r>
      <w:r w:rsidRPr="00F64639">
        <w:t>sítés nettó árbevétele” adatát használtuk fel. A vizsgált csoport 40 lezárt projektből állt, míg a kontrollcs</w:t>
      </w:r>
      <w:r w:rsidRPr="00F64639">
        <w:t>o</w:t>
      </w:r>
      <w:r w:rsidRPr="00F64639">
        <w:t>port kizárólag olyan, támogatási kérelmet benyújtó entitásokat tartalmaz, melyek nem kaptak támogatást az adott jogcímből. A kontrollcsoport kiválasztásánál törekedtünk a regionális reprezentativitásra, mint azt a következő ábra is szemlélteti.</w:t>
      </w:r>
    </w:p>
    <w:p w:rsidR="00AA2539" w:rsidRPr="00F64639" w:rsidRDefault="00374E45" w:rsidP="00AA2539">
      <w:pPr>
        <w:pStyle w:val="HUNNormal"/>
        <w:keepNext/>
        <w:jc w:val="center"/>
      </w:pPr>
      <w:r w:rsidRPr="00F64639">
        <w:rPr>
          <w:noProof/>
        </w:rPr>
        <w:lastRenderedPageBreak/>
        <w:drawing>
          <wp:inline distT="0" distB="0" distL="0" distR="0">
            <wp:extent cx="5525159" cy="1802704"/>
            <wp:effectExtent l="19050" t="19050" r="56491" b="45146"/>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b="52923"/>
                    <a:stretch>
                      <a:fillRect/>
                    </a:stretch>
                  </pic:blipFill>
                  <pic:spPr bwMode="auto">
                    <a:xfrm>
                      <a:off x="0" y="0"/>
                      <a:ext cx="5525159" cy="180270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836285" w:rsidRPr="00F64639" w:rsidRDefault="00075A29" w:rsidP="00377826">
      <w:pPr>
        <w:pStyle w:val="Caption"/>
        <w:keepNext/>
        <w:spacing w:before="60" w:after="120" w:line="280" w:lineRule="atLeast"/>
        <w:jc w:val="center"/>
        <w:rPr>
          <w:color w:val="auto"/>
        </w:rPr>
      </w:pPr>
      <w:r w:rsidRPr="00F64639">
        <w:rPr>
          <w:color w:val="auto"/>
        </w:rPr>
        <w:fldChar w:fldCharType="begin"/>
      </w:r>
      <w:r w:rsidR="00377826" w:rsidRPr="00F64639">
        <w:rPr>
          <w:color w:val="auto"/>
        </w:rPr>
        <w:instrText xml:space="preserve"> SEQ táblázat \* ARABIC </w:instrText>
      </w:r>
      <w:r w:rsidRPr="00F64639">
        <w:rPr>
          <w:color w:val="auto"/>
        </w:rPr>
        <w:fldChar w:fldCharType="separate"/>
      </w:r>
      <w:r w:rsidR="00E30745" w:rsidRPr="00F64639">
        <w:rPr>
          <w:noProof/>
          <w:color w:val="auto"/>
        </w:rPr>
        <w:t>36</w:t>
      </w:r>
      <w:r w:rsidRPr="00F64639">
        <w:rPr>
          <w:color w:val="auto"/>
        </w:rPr>
        <w:fldChar w:fldCharType="end"/>
      </w:r>
      <w:r w:rsidR="00377826" w:rsidRPr="00F64639">
        <w:rPr>
          <w:color w:val="auto"/>
        </w:rPr>
        <w:t>. táblázat: A kontrollcsoport kiválasztásának jellemzői</w:t>
      </w:r>
    </w:p>
    <w:p w:rsidR="00AA2539" w:rsidRPr="00F64639" w:rsidRDefault="00AA2539" w:rsidP="00AA2539">
      <w:pPr>
        <w:jc w:val="both"/>
      </w:pPr>
      <w:r w:rsidRPr="00F64639">
        <w:t xml:space="preserve">Az OPTEN Mérlegtárban rendelkezésre álló adatok tovább szűkítették a vizsgált és a kontrollcsoport méretét, hiszen csak olyan entitásokat hagyhattunk az egyes csoportokban, melyek esetében az induló és a legutolsó gazdasági évre (2007 és 2009) összevethető adatot találtunk (a TK adatlapon és az </w:t>
      </w:r>
      <w:proofErr w:type="spellStart"/>
      <w:r w:rsidRPr="00F64639">
        <w:t>OPTEN-ben</w:t>
      </w:r>
      <w:proofErr w:type="spellEnd"/>
      <w:r w:rsidRPr="00F64639">
        <w:t xml:space="preserve"> is volt adat). Mindezek után a modellben vizsgálható elemszám 26 db (kontroll: 19 db).</w:t>
      </w:r>
    </w:p>
    <w:p w:rsidR="00AA2539" w:rsidRPr="00F64639" w:rsidRDefault="00AA2539" w:rsidP="00AA2539">
      <w:pPr>
        <w:jc w:val="both"/>
      </w:pPr>
      <w:r w:rsidRPr="00F64639">
        <w:t>Vizsgáltuk az árbevétel növekedés (abszolút és relatív értelemben) kapcsolatát a támogatásokkal (összegek, illetve a bináris, támogatottság ténye változók segítségével). A modellek egyszerű OLS becslések. A mode</w:t>
      </w:r>
      <w:r w:rsidRPr="00F64639">
        <w:t>l</w:t>
      </w:r>
      <w:r w:rsidRPr="00F64639">
        <w:t xml:space="preserve">lekben a keresztmetszeti </w:t>
      </w:r>
      <w:proofErr w:type="spellStart"/>
      <w:r w:rsidRPr="00F64639">
        <w:t>heteroszkedaszticitás</w:t>
      </w:r>
      <w:proofErr w:type="spellEnd"/>
      <w:r w:rsidRPr="00F64639">
        <w:t xml:space="preserve"> jelenlétére kontrollálva White-féle robosztus standard hib</w:t>
      </w:r>
      <w:r w:rsidRPr="00F64639">
        <w:t>á</w:t>
      </w:r>
      <w:r w:rsidRPr="00F64639">
        <w:t>kat használtunk.</w:t>
      </w:r>
    </w:p>
    <w:p w:rsidR="00AA2539" w:rsidRPr="00F64639" w:rsidRDefault="00AA2539" w:rsidP="00AA2539">
      <w:pPr>
        <w:pStyle w:val="HUNNormal"/>
      </w:pPr>
      <w:r w:rsidRPr="00F64639">
        <w:t>Foglalkoztatási hatás vizsgálatát az OPTEN Mérlegtár foglalkoztatási adatait felhasználva végeztük el az induló időszak</w:t>
      </w:r>
      <w:r w:rsidR="00377826" w:rsidRPr="00F64639">
        <w:t xml:space="preserve"> </w:t>
      </w:r>
      <w:r w:rsidRPr="00F64639">
        <w:t>(2007) és a záró időszak (2009) teljes munkaidős átlag állományi létszámának összehasonl</w:t>
      </w:r>
      <w:r w:rsidRPr="00F64639">
        <w:t>í</w:t>
      </w:r>
      <w:r w:rsidRPr="00F64639">
        <w:t>tásával.</w:t>
      </w:r>
    </w:p>
    <w:p w:rsidR="00AA2539" w:rsidRPr="00F64639" w:rsidRDefault="00AA2539" w:rsidP="00AA2539">
      <w:pPr>
        <w:pStyle w:val="HUNNormal"/>
      </w:pPr>
      <w:r w:rsidRPr="00F64639">
        <w:t>Termelékenységi hatásvizsgálatban a munkatermelékenységi mutatót képeztük le az árbevétel és a létszám hányadosaként, és azt vizsgáljuk, az induló időszakhoz képest (2007), milyen irányban változott a mutató.</w:t>
      </w:r>
    </w:p>
    <w:p w:rsidR="00012AF2" w:rsidRPr="00F64639" w:rsidRDefault="00AA2539" w:rsidP="00603EA6">
      <w:pPr>
        <w:pStyle w:val="HUNNormal"/>
      </w:pPr>
      <w:r w:rsidRPr="00F64639">
        <w:t>A hatásvizsgálatok eredményeinek bemutatása előtt fontos rögzíteni, hogy a beruházások többsége éppen csak a vizsgált időszak előtt, vagy annak elején zárult le (2009), ezért érdemi hatást valószínűleg nem tudott kiváltani. Az ilyen típusú fejlesztések hatásai jellemzően két-három év alatt „érnek be”, ezért mindegyik h</w:t>
      </w:r>
      <w:r w:rsidRPr="00F64639">
        <w:t>a</w:t>
      </w:r>
      <w:r w:rsidRPr="00F64639">
        <w:t>tásvizsgálat megismétlése szükséges a következő években a konklúzió megfogalmazásához. Az eredmény</w:t>
      </w:r>
      <w:r w:rsidRPr="00F64639">
        <w:t>e</w:t>
      </w:r>
      <w:r w:rsidRPr="00F64639">
        <w:t xml:space="preserve">ket ezért inkább csak a következő évek </w:t>
      </w:r>
      <w:r w:rsidR="000E6871" w:rsidRPr="00F64639">
        <w:t>vizsgálatainak megalapozása érdekében közöljük.</w:t>
      </w:r>
    </w:p>
    <w:p w:rsidR="00AA2539" w:rsidRPr="00F64639" w:rsidRDefault="000E6871" w:rsidP="00603EA6">
      <w:pPr>
        <w:pStyle w:val="HUNNormal"/>
      </w:pPr>
      <w:r w:rsidRPr="00F64639">
        <w:t xml:space="preserve">A jövedelmezőség tekintetében az </w:t>
      </w:r>
      <w:proofErr w:type="spellStart"/>
      <w:r w:rsidRPr="00F64639">
        <w:t>ökonometriai</w:t>
      </w:r>
      <w:proofErr w:type="spellEnd"/>
      <w:r w:rsidRPr="00F64639">
        <w:t xml:space="preserve"> modell nem tudott a vizsgált projektekben pozitív kapcsol</w:t>
      </w:r>
      <w:r w:rsidRPr="00F64639">
        <w:t>a</w:t>
      </w:r>
      <w:r w:rsidRPr="00F64639">
        <w:t xml:space="preserve">tot kimutatni a támogatás ténye és az árbevétel növekedése között. Ezt a fejlesztések </w:t>
      </w:r>
      <w:proofErr w:type="gramStart"/>
      <w:r w:rsidRPr="00F64639">
        <w:t>lezárulta óta</w:t>
      </w:r>
      <w:proofErr w:type="gramEnd"/>
      <w:r w:rsidRPr="00F64639">
        <w:t xml:space="preserve"> eltelt időszak rövidségének tulajdonítjuk.</w:t>
      </w:r>
    </w:p>
    <w:p w:rsidR="000E6871" w:rsidRPr="00F64639" w:rsidRDefault="000E6871" w:rsidP="00603EA6">
      <w:pPr>
        <w:pStyle w:val="HUNNormal"/>
      </w:pPr>
      <w:r w:rsidRPr="00F64639">
        <w:t>A foglalkoztatás tekintetében mind a támogatott, mind a kontrollcsoportban jelentős csökkentés volt tapas</w:t>
      </w:r>
      <w:r w:rsidRPr="00F64639">
        <w:t>z</w:t>
      </w:r>
      <w:r w:rsidRPr="00F64639">
        <w:t>talható már a tervek és később a tényadatokban is. A vizsgálatba vont vállalkozások 234 fős csökkentést terveztek és ezt túl is teljesítették -288 fő tényadattal. A kontrollcsoportban ugyanez a két érték -340 fő és -230 fő.</w:t>
      </w:r>
    </w:p>
    <w:p w:rsidR="000E6871" w:rsidRPr="00F64639" w:rsidRDefault="000E6871" w:rsidP="000E6871">
      <w:pPr>
        <w:jc w:val="both"/>
      </w:pPr>
      <w:r w:rsidRPr="00F64639">
        <w:t>A jogcím vizsgálata – legalábbis munkatermelékenységi szempontból – kedvezőbb képet adott: a vizsgált csoportban 254 776 Ft-os, a kontrollcsoportban 1 567 968 Ft-os növekedés volt tapasztalható. Megjeg</w:t>
      </w:r>
      <w:r w:rsidRPr="00F64639">
        <w:t>y</w:t>
      </w:r>
      <w:r w:rsidRPr="00F64639">
        <w:t>zendő, hogy mindezt jelentős létszámleépítés kísérte, az árbevétel változása mellett.</w:t>
      </w:r>
    </w:p>
    <w:p w:rsidR="00E76D3B" w:rsidRPr="00F64639" w:rsidRDefault="00E76D3B" w:rsidP="00E76D3B">
      <w:pPr>
        <w:pStyle w:val="HUNNormal"/>
      </w:pPr>
      <w:r w:rsidRPr="00F64639">
        <w:t>A bevezetett (bevezetni kívánt) új technológiák számára vonatkozó monitoring kérdésre adott válaszok ért</w:t>
      </w:r>
      <w:r w:rsidRPr="00F64639">
        <w:t>é</w:t>
      </w:r>
      <w:r w:rsidRPr="00F64639">
        <w:t>kelhetetlennek bizonyultak (239 kedvezményezett nem adott választ), így nem tudtuk megállapítani a ber</w:t>
      </w:r>
      <w:r w:rsidRPr="00F64639">
        <w:t>u</w:t>
      </w:r>
      <w:r w:rsidRPr="00F64639">
        <w:t>házások technológiai színvonalra gyakorolt hatását.</w:t>
      </w:r>
    </w:p>
    <w:p w:rsidR="00E76D3B" w:rsidRPr="00F64639" w:rsidRDefault="00E76D3B" w:rsidP="000E6871">
      <w:pPr>
        <w:jc w:val="both"/>
        <w:rPr>
          <w:b/>
        </w:rPr>
      </w:pPr>
      <w:r w:rsidRPr="00F64639">
        <w:rPr>
          <w:b/>
        </w:rPr>
        <w:lastRenderedPageBreak/>
        <w:t>Hatékonyságvizsgálat</w:t>
      </w:r>
    </w:p>
    <w:p w:rsidR="00E76D3B" w:rsidRPr="00F64639" w:rsidRDefault="00E76D3B" w:rsidP="000E6871">
      <w:pPr>
        <w:jc w:val="both"/>
      </w:pPr>
      <w:r w:rsidRPr="00F64639">
        <w:rPr>
          <w:b/>
        </w:rPr>
        <w:t>A kérelmezők körében jelentős hányadot képviseltek az AVOP fejlesztésekben is részesült vállalkozások, mintegy 20% volt csak az új kérelmező.</w:t>
      </w:r>
      <w:r w:rsidRPr="00F64639">
        <w:t xml:space="preserve"> Az ezáltal képviselt fejlesztési folyamatosság az MVH ügykezelői szerint azt is jelzi, hogy a pályázók egy jelentős hányada a támogatás nélkül is elindította volna a fejlesztést.</w:t>
      </w:r>
    </w:p>
    <w:p w:rsidR="00E76D3B" w:rsidRPr="00F64639" w:rsidRDefault="00E76D3B" w:rsidP="000E6871">
      <w:pPr>
        <w:jc w:val="both"/>
      </w:pPr>
    </w:p>
    <w:p w:rsidR="00012AF2" w:rsidRPr="00F64639" w:rsidRDefault="00B47E48" w:rsidP="00377826">
      <w:pPr>
        <w:pStyle w:val="HUNNormal"/>
        <w:keepNext/>
        <w:rPr>
          <w:b/>
        </w:rPr>
      </w:pPr>
      <w:r w:rsidRPr="00F64639">
        <w:rPr>
          <w:b/>
        </w:rPr>
        <w:t>Potenciálvizsgálat</w:t>
      </w:r>
    </w:p>
    <w:p w:rsidR="00012AF2" w:rsidRPr="00F64639" w:rsidRDefault="00440177" w:rsidP="00377826">
      <w:pPr>
        <w:pStyle w:val="HUNNormal"/>
        <w:keepNext/>
      </w:pPr>
      <w:r w:rsidRPr="00F64639">
        <w:t>Mivel a projektek többsége még nem zárult le, ezért a hatásvizsgálatnál ebben az esetben megalapozottabb eredményt hozhat a hatáspotenciál vizsgálata.</w:t>
      </w:r>
    </w:p>
    <w:p w:rsidR="00440177" w:rsidRPr="00F64639" w:rsidRDefault="00440177" w:rsidP="00603EA6">
      <w:pPr>
        <w:pStyle w:val="HUNNormal"/>
      </w:pPr>
      <w:r w:rsidRPr="00F64639">
        <w:t>A jövedelmezőségre sajnos nem volt módunkban potenciálvizsgálatot végezni, az üzleti terv adatok megbí</w:t>
      </w:r>
      <w:r w:rsidRPr="00F64639">
        <w:t>z</w:t>
      </w:r>
      <w:r w:rsidRPr="00F64639">
        <w:t>hatatlansága miatt.</w:t>
      </w:r>
    </w:p>
    <w:p w:rsidR="00440177" w:rsidRPr="00F64639" w:rsidRDefault="00440177" w:rsidP="00603EA6">
      <w:pPr>
        <w:pStyle w:val="HUNNormal"/>
      </w:pPr>
      <w:r w:rsidRPr="00F64639">
        <w:t>A foglalkoztatási potenciál tekintetében 556 db nyertes kérelem adatai voltak vizsgálhatóak. Ezeknél a kér</w:t>
      </w:r>
      <w:r w:rsidRPr="00F64639">
        <w:t>e</w:t>
      </w:r>
      <w:r w:rsidRPr="00F64639">
        <w:t>lemben a fejlesztés végével vállalt létszámot hasonlítottuk össze a benyújtás időszakára jelentetett lé</w:t>
      </w:r>
      <w:r w:rsidRPr="00F64639">
        <w:t>t</w:t>
      </w:r>
      <w:r w:rsidRPr="00F64639">
        <w:t>számmal. A számítás 446 fő-s bővítést mutat, rávilágítva arra, hogy a hatásvizsgálatba vont lezárt projektek ilyen tekintetben nem jellemzik jól a nyertes projektek teljes sokasságát.</w:t>
      </w:r>
    </w:p>
    <w:p w:rsidR="00440177" w:rsidRPr="00F64639" w:rsidRDefault="00836285" w:rsidP="00603EA6">
      <w:pPr>
        <w:pStyle w:val="HUNNormal"/>
      </w:pPr>
      <w:r w:rsidRPr="00F64639">
        <w:t>Érdemesnek láttuk még az ÁFA adópotenciál vizsgálatát is a jogcím jelentős mértékű beruházási kompone</w:t>
      </w:r>
      <w:r w:rsidRPr="00F64639">
        <w:t>n</w:t>
      </w:r>
      <w:r w:rsidRPr="00F64639">
        <w:t xml:space="preserve">sére tekintettel. A dologi kiadások mértékének vizsgálata alapján az ÁFA bevétel potenciált 14, 3 </w:t>
      </w:r>
      <w:proofErr w:type="spellStart"/>
      <w:r w:rsidRPr="00F64639">
        <w:t>mrd</w:t>
      </w:r>
      <w:proofErr w:type="spellEnd"/>
      <w:r w:rsidRPr="00F64639">
        <w:t xml:space="preserve"> Ft-ra becsültük, ami az </w:t>
      </w:r>
      <w:proofErr w:type="spellStart"/>
      <w:r w:rsidRPr="00F64639">
        <w:t>ÚMVP-n</w:t>
      </w:r>
      <w:proofErr w:type="spellEnd"/>
      <w:r w:rsidRPr="00F64639">
        <w:t xml:space="preserve"> belüli harmadik legmagasabb érték.</w:t>
      </w:r>
    </w:p>
    <w:p w:rsidR="007929EA" w:rsidRPr="00F64639" w:rsidRDefault="002A7777" w:rsidP="007929EA">
      <w:pPr>
        <w:pStyle w:val="HUNNormal"/>
      </w:pPr>
      <w:r w:rsidRPr="00F64639">
        <w:t xml:space="preserve">A </w:t>
      </w:r>
      <w:r w:rsidRPr="00F64639">
        <w:rPr>
          <w:b/>
          <w:iCs/>
          <w:szCs w:val="22"/>
          <w:u w:val="single"/>
        </w:rPr>
        <w:t>mezőgazdasági termékek értéknövelése félkész vagy végtermékek energiatermelési célú felhasználásra való előállítása</w:t>
      </w:r>
      <w:r w:rsidRPr="00F64639">
        <w:rPr>
          <w:iCs/>
          <w:szCs w:val="22"/>
        </w:rPr>
        <w:t xml:space="preserve"> jogcím</w:t>
      </w:r>
      <w:r w:rsidR="00DE0984" w:rsidRPr="00F64639">
        <w:t xml:space="preserve"> indok</w:t>
      </w:r>
      <w:r w:rsidR="007929EA" w:rsidRPr="00F64639">
        <w:t>ként kiemeli, hogy a mezőgazdasági termékek hozzáadott értéke növekszik, a gyártók nagyobb profitra tesznek szert, és a vállalkozás összteljesítménye emelkedik az energetikai célú alapanyagok feldolgozásával és annak előállításával. Ugyancsak kedvező hatást jelenthet az, hogy a helyben történő feldolgozás elősegítheti az állattartást, mivel a gyártási melléktermékek a takarmányozásban has</w:t>
      </w:r>
      <w:r w:rsidR="007929EA" w:rsidRPr="00F64639">
        <w:t>z</w:t>
      </w:r>
      <w:r w:rsidR="007929EA" w:rsidRPr="00F64639">
        <w:t xml:space="preserve">nosulhatnak. </w:t>
      </w:r>
      <w:r w:rsidR="00DE0984" w:rsidRPr="00F64639">
        <w:t>A jogcím</w:t>
      </w:r>
      <w:r w:rsidR="007929EA" w:rsidRPr="00F64639">
        <w:t xml:space="preserve"> szabályozásában különös gondo</w:t>
      </w:r>
      <w:r w:rsidR="00DE0984" w:rsidRPr="00F64639">
        <w:t>t kellett fordítani a Környezet</w:t>
      </w:r>
      <w:r w:rsidR="007929EA" w:rsidRPr="00F64639">
        <w:t xml:space="preserve"> és Energia Operatív Programtól (KEOP) történő le</w:t>
      </w:r>
      <w:r w:rsidR="00DE0984" w:rsidRPr="00F64639">
        <w:t>határolásra. Ezzel összhangban</w:t>
      </w:r>
      <w:r w:rsidR="007929EA" w:rsidRPr="00F64639">
        <w:t xml:space="preserve"> az ÚMVP támogatja az agrárvállalkozások a</w:t>
      </w:r>
      <w:r w:rsidR="007929EA" w:rsidRPr="00F64639">
        <w:t>g</w:t>
      </w:r>
      <w:r w:rsidR="007929EA" w:rsidRPr="00F64639">
        <w:t>rárjellegű tevékenységei keretében végzett, megújuló energiaforrás előállításra, felhasználásra vonatkozó kiskapacitású fejlesztéseit, továbbá a nem agrárjellegű vállalkozások üzemi jellegű fejlesztéseit.</w:t>
      </w:r>
    </w:p>
    <w:p w:rsidR="007929EA" w:rsidRPr="00F64639" w:rsidRDefault="007929EA" w:rsidP="007929EA">
      <w:pPr>
        <w:pStyle w:val="HUNNormal"/>
      </w:pPr>
      <w:r w:rsidRPr="00F64639">
        <w:t xml:space="preserve">Az </w:t>
      </w:r>
      <w:proofErr w:type="spellStart"/>
      <w:r w:rsidRPr="00F64639">
        <w:t>ÚMVP-n</w:t>
      </w:r>
      <w:proofErr w:type="spellEnd"/>
      <w:r w:rsidRPr="00F64639">
        <w:t xml:space="preserve"> belül a maximális feldolgozási kapacit</w:t>
      </w:r>
      <w:r w:rsidR="00DE0984" w:rsidRPr="00F64639">
        <w:t xml:space="preserve">ás a </w:t>
      </w:r>
      <w:proofErr w:type="spellStart"/>
      <w:r w:rsidR="00DE0984" w:rsidRPr="00F64639">
        <w:t>bioetanol</w:t>
      </w:r>
      <w:proofErr w:type="spellEnd"/>
      <w:r w:rsidR="00DE0984" w:rsidRPr="00F64639">
        <w:t xml:space="preserve"> </w:t>
      </w:r>
      <w:r w:rsidRPr="00F64639">
        <w:t xml:space="preserve">termelés területén évi 10 </w:t>
      </w:r>
      <w:proofErr w:type="spellStart"/>
      <w:r w:rsidR="00DE0984" w:rsidRPr="00F64639">
        <w:t>kilotonna</w:t>
      </w:r>
      <w:proofErr w:type="spellEnd"/>
      <w:r w:rsidRPr="00F64639">
        <w:t>. A biod</w:t>
      </w:r>
      <w:r w:rsidRPr="00F64639">
        <w:t>í</w:t>
      </w:r>
      <w:r w:rsidRPr="00F64639">
        <w:t xml:space="preserve">zel kapacitásokat kizárólag a Program támogatja. Ezen intézkedés </w:t>
      </w:r>
      <w:r w:rsidR="00DE0984" w:rsidRPr="00F64639">
        <w:t>alapján,</w:t>
      </w:r>
      <w:r w:rsidRPr="00F64639">
        <w:t xml:space="preserve"> a gazdaságokon kívülről szárm</w:t>
      </w:r>
      <w:r w:rsidRPr="00F64639">
        <w:t>a</w:t>
      </w:r>
      <w:r w:rsidRPr="00F64639">
        <w:t xml:space="preserve">zó nyersanyagokat hasznosító </w:t>
      </w:r>
      <w:r w:rsidRPr="00F64639">
        <w:rPr>
          <w:b/>
        </w:rPr>
        <w:t>biodízel üzemek támogathatók</w:t>
      </w:r>
      <w:r w:rsidRPr="00F64639">
        <w:t>.</w:t>
      </w:r>
      <w:r w:rsidR="00DE0984" w:rsidRPr="00F64639">
        <w:t xml:space="preserve"> </w:t>
      </w:r>
      <w:r w:rsidRPr="00F64639">
        <w:t>A fejlesztési koncepció szerint a kisebb üz</w:t>
      </w:r>
      <w:r w:rsidRPr="00F64639">
        <w:t>e</w:t>
      </w:r>
      <w:r w:rsidRPr="00F64639">
        <w:t>mek integrált módon kapcsolódhatnak a nagyobb végső feldolgozó üzemekhez és értékesítési láncokhoz, egyidejűleg növekedhet a helybeli felhasználás a feldolgozó üzem közelében (tömegközlekedés, egyéb m</w:t>
      </w:r>
      <w:r w:rsidRPr="00F64639">
        <w:t>e</w:t>
      </w:r>
      <w:r w:rsidRPr="00F64639">
        <w:t xml:space="preserve">zőgazdasági üzemek). A program a </w:t>
      </w:r>
      <w:proofErr w:type="spellStart"/>
      <w:r w:rsidRPr="00F64639">
        <w:t>bioetanol</w:t>
      </w:r>
      <w:proofErr w:type="spellEnd"/>
      <w:r w:rsidRPr="00F64639">
        <w:t xml:space="preserve"> előállításával kapcsolatos egyik legfontosabb szakmai kérdé</w:t>
      </w:r>
      <w:r w:rsidRPr="00F64639">
        <w:t>s</w:t>
      </w:r>
      <w:r w:rsidRPr="00F64639">
        <w:t>nek tekinti az energiamérleget, ezért a tervezett intézkedések egyik legfontosabb követelménye, hogy a te</w:t>
      </w:r>
      <w:r w:rsidRPr="00F64639">
        <w:t>r</w:t>
      </w:r>
      <w:r w:rsidRPr="00F64639">
        <w:t>melésben felhasznált energia bizonyos részének megújuló energiaforrásokból kell származnia.</w:t>
      </w:r>
    </w:p>
    <w:p w:rsidR="007929EA" w:rsidRPr="00F64639" w:rsidRDefault="007929EA" w:rsidP="007929EA">
      <w:pPr>
        <w:pStyle w:val="HUNNormal"/>
      </w:pPr>
      <w:r w:rsidRPr="00F64639">
        <w:t>Az intézkedés szabályozása a 44/2009 (IV.11.) FVM rendelettel történt meg. A rendelet alapján vissza nem térítendő támogatás vehető igénybe technológiai blokkok létesítéséhez kapcsolódó gépbeszerzéshez, szer</w:t>
      </w:r>
      <w:r w:rsidRPr="00F64639">
        <w:t>e</w:t>
      </w:r>
      <w:r w:rsidRPr="00F64639">
        <w:t>léshez, építéshez, épület felújításhoz, bővítéshez, szoftver, hardver, laboreszközök beszerzéséhez, valamint kapcsolódó infrastruktúra telephelyen történő kialakításhoz. A támogatás alapját a technológiai blokk jelenti.</w:t>
      </w:r>
    </w:p>
    <w:p w:rsidR="007929EA" w:rsidRPr="00F64639" w:rsidRDefault="0016041A" w:rsidP="007929EA">
      <w:pPr>
        <w:pStyle w:val="HUNNormal"/>
      </w:pPr>
      <w:r w:rsidRPr="00F64639">
        <w:t xml:space="preserve">A támogatási célcsoport </w:t>
      </w:r>
      <w:r w:rsidR="009036DA" w:rsidRPr="00F64639">
        <w:t xml:space="preserve">a mezőgazdasági termékek értéknövelése </w:t>
      </w:r>
      <w:r w:rsidRPr="00F64639">
        <w:t xml:space="preserve">jogcímben </w:t>
      </w:r>
      <w:r w:rsidR="007929EA" w:rsidRPr="00F64639">
        <w:t xml:space="preserve">foglaltakon túlmenő, mivel kibővül a termelői csoportokkal. A pályázatok értékelési szempontjai között az üzleti terv és a pénzügyi terv 60%-os súlyt képvisel. A foglalkoztatási és esélyegyenlőségi feltételek 20%-ot jelentenek, és jelentős (10%-os) hányadot jelent az innováció, alapanyag- diverzifikáció, aminek megítélését a minisztérium felügyelet </w:t>
      </w:r>
      <w:r w:rsidR="007929EA" w:rsidRPr="00F64639">
        <w:lastRenderedPageBreak/>
        <w:t>alatt álló Mezőgazdasági Gépesítési Intézetnek a technológiai tervre adott szakvéleménye segíti. Az Intézet bevonása a folyamatba jelentősen előmozdította a szakmaiságot a pályázatokban.</w:t>
      </w:r>
    </w:p>
    <w:p w:rsidR="007929EA" w:rsidRPr="00F64639" w:rsidRDefault="007929EA" w:rsidP="007929EA">
      <w:pPr>
        <w:pStyle w:val="HUNNormal"/>
      </w:pPr>
      <w:r w:rsidRPr="00F64639">
        <w:t>A</w:t>
      </w:r>
      <w:r w:rsidR="009036DA" w:rsidRPr="00F64639">
        <w:t xml:space="preserve"> jogcímre</w:t>
      </w:r>
      <w:r w:rsidRPr="00F64639">
        <w:t xml:space="preserve"> a 104/2009</w:t>
      </w:r>
      <w:r w:rsidR="009319C1" w:rsidRPr="00F64639">
        <w:t xml:space="preserve">. </w:t>
      </w:r>
      <w:r w:rsidRPr="00F64639">
        <w:t xml:space="preserve">(VIII.12.) sz. MVH közlemény </w:t>
      </w:r>
      <w:r w:rsidR="009036DA" w:rsidRPr="00F64639">
        <w:t>alapján</w:t>
      </w:r>
      <w:r w:rsidR="004714F9" w:rsidRPr="00F64639">
        <w:t xml:space="preserve"> 2009.09.</w:t>
      </w:r>
      <w:r w:rsidRPr="00F64639">
        <w:t xml:space="preserve">15. és </w:t>
      </w:r>
      <w:r w:rsidR="004714F9" w:rsidRPr="00F64639">
        <w:t>2009.11.</w:t>
      </w:r>
      <w:r w:rsidRPr="00F64639">
        <w:t>16. között</w:t>
      </w:r>
      <w:r w:rsidR="009036DA" w:rsidRPr="00F64639">
        <w:t xml:space="preserve"> lehetett kérelmet benyújtani</w:t>
      </w:r>
      <w:r w:rsidRPr="00F64639">
        <w:t xml:space="preserve">. A benyújtott </w:t>
      </w:r>
      <w:r w:rsidR="009036DA" w:rsidRPr="00F64639">
        <w:t>kérelmek</w:t>
      </w:r>
      <w:r w:rsidRPr="00F64639">
        <w:t xml:space="preserve"> száma 39</w:t>
      </w:r>
      <w:r w:rsidR="004714F9" w:rsidRPr="00F64639">
        <w:t xml:space="preserve"> db</w:t>
      </w:r>
      <w:r w:rsidRPr="00F64639">
        <w:t xml:space="preserve">, támogatási határozattal ez év áprilisa óta </w:t>
      </w:r>
      <w:r w:rsidR="004714F9" w:rsidRPr="00F64639">
        <w:t>31 db</w:t>
      </w:r>
      <w:r w:rsidRPr="00F64639">
        <w:t xml:space="preserve"> </w:t>
      </w:r>
      <w:r w:rsidR="009036DA" w:rsidRPr="00F64639">
        <w:t>kérelmező</w:t>
      </w:r>
      <w:r w:rsidRPr="00F64639">
        <w:t xml:space="preserve"> rendelkezik. Ezért az intézkedés érdemi értékeléshez még az MVH nem tudott információval szo</w:t>
      </w:r>
      <w:r w:rsidRPr="00F64639">
        <w:t>l</w:t>
      </w:r>
      <w:r w:rsidRPr="00F64639">
        <w:t xml:space="preserve">gálni. Elsőleges jelzésként megállapítható ugyanakkor, hogy </w:t>
      </w:r>
      <w:r w:rsidR="00217E12" w:rsidRPr="00F64639">
        <w:t>a fejlesztések</w:t>
      </w:r>
      <w:r w:rsidRPr="00F64639">
        <w:t xml:space="preserve"> technoló</w:t>
      </w:r>
      <w:r w:rsidR="00217E12" w:rsidRPr="00F64639">
        <w:t>giai elemeinek</w:t>
      </w:r>
      <w:r w:rsidRPr="00F64639">
        <w:t xml:space="preserve"> viszonyl</w:t>
      </w:r>
      <w:r w:rsidRPr="00F64639">
        <w:t>a</w:t>
      </w:r>
      <w:r w:rsidRPr="00F64639">
        <w:t xml:space="preserve">gos egységessége (13 </w:t>
      </w:r>
      <w:r w:rsidR="009036DA" w:rsidRPr="00F64639">
        <w:t>kérelem</w:t>
      </w:r>
      <w:r w:rsidRPr="00F64639">
        <w:t xml:space="preserve"> számára azonos támogatási összeget lehetett megítélni azonos műszaki tartalom alapján) egy háttér- beszállító</w:t>
      </w:r>
      <w:r w:rsidR="004714F9" w:rsidRPr="00F64639">
        <w:t xml:space="preserve"> jelentős befolyására utalhat.</w:t>
      </w:r>
    </w:p>
    <w:p w:rsidR="00217E12" w:rsidRPr="00F64639" w:rsidRDefault="00217E12" w:rsidP="007929EA">
      <w:pPr>
        <w:pStyle w:val="HUNNormal"/>
      </w:pPr>
      <w:r w:rsidRPr="00F64639">
        <w:t>Ami a jóváhagyott támogatási kérelmek megyei megoszlását illeti, megállapítható, hogy Szabolcs-Szatmár-Bereg megye, Budapest és Vas megye „vitte el” a legnagyobb arányban a fejlesztési forrásokat (rendre 16,13%, 16,13% és 9,68%). A legkevesebb támogatott kérelem Jász-Nagykun-Szolnok, Borsod-Abaúj-Zemplén és Somogy megyéből érkezett (mindegyik megye 3,23%-os aránnyal). A támogatott kérelmek 45%-a származott hátrányos, LHH vagy komplex LHH kistérségből (rendre 29%, 0%, 16%).</w:t>
      </w:r>
    </w:p>
    <w:p w:rsidR="00BD5EA2" w:rsidRPr="00F64639" w:rsidRDefault="00217E12" w:rsidP="009036DA">
      <w:pPr>
        <w:pStyle w:val="HUNNormal"/>
      </w:pPr>
      <w:r w:rsidRPr="00F64639">
        <w:t>A támogatott kérelmek többségét (54%) a kis- és középvállalkozások tudhatják magukénak, míg a nagyváll</w:t>
      </w:r>
      <w:r w:rsidRPr="00F64639">
        <w:t>a</w:t>
      </w:r>
      <w:r w:rsidRPr="00F64639">
        <w:t xml:space="preserve">latok 23%-os részesedéssel rendelkeznek (az </w:t>
      </w:r>
      <w:proofErr w:type="spellStart"/>
      <w:r w:rsidRPr="00F64639">
        <w:t>IIER-ben</w:t>
      </w:r>
      <w:proofErr w:type="spellEnd"/>
      <w:r w:rsidRPr="00F64639">
        <w:t xml:space="preserve"> a támogatott kérelmek 23%-ánál azonban nem talá</w:t>
      </w:r>
      <w:r w:rsidRPr="00F64639">
        <w:t>l</w:t>
      </w:r>
      <w:r w:rsidRPr="00F64639">
        <w:t>tunk KKV kódot!).</w:t>
      </w:r>
      <w:r w:rsidR="006735DE" w:rsidRPr="00F64639">
        <w:t xml:space="preserve"> </w:t>
      </w:r>
      <w:r w:rsidRPr="00F64639">
        <w:t>Az átfutási időket vizsgálva megállapítható, hogy a támogatási kérelmek esetében átlag</w:t>
      </w:r>
      <w:r w:rsidRPr="00F64639">
        <w:t>o</w:t>
      </w:r>
      <w:r w:rsidRPr="00F64639">
        <w:t>san 152 naptári napig tart egy kérelem elbírálása: ebből 131 nap az MVH, 2 nap az Irányító Hatóság és 19 nap az ügyfél „számlájára írható”.</w:t>
      </w:r>
    </w:p>
    <w:p w:rsidR="009319C1" w:rsidRPr="00F64639" w:rsidRDefault="00514581" w:rsidP="009036DA">
      <w:pPr>
        <w:pStyle w:val="HUNNormal"/>
        <w:rPr>
          <w:b/>
        </w:rPr>
      </w:pPr>
      <w:r w:rsidRPr="00F64639">
        <w:rPr>
          <w:b/>
        </w:rPr>
        <w:t>Relevanciaelemzés</w:t>
      </w:r>
    </w:p>
    <w:p w:rsidR="00514581" w:rsidRPr="00F64639" w:rsidRDefault="007B7848" w:rsidP="009036DA">
      <w:pPr>
        <w:pStyle w:val="HUNNormal"/>
      </w:pPr>
      <w:r w:rsidRPr="00F64639">
        <w:t>Az intézkedés relevanciáját megkérdőjelezi a biomassza alapú üzemanyagokkal kapcsolatban az elmúlt években kialakult szakmai vita, amely mind a gazdasági fenntarthatóságot, mind az energiamérleg hat</w:t>
      </w:r>
      <w:r w:rsidRPr="00F64639">
        <w:t>é</w:t>
      </w:r>
      <w:r w:rsidRPr="00F64639">
        <w:t>konyságát érinti. Ezek a kérdések okozhatták a kérelmezők alacsony számát is, amit növel az előállított te</w:t>
      </w:r>
      <w:r w:rsidRPr="00F64639">
        <w:t>r</w:t>
      </w:r>
      <w:r w:rsidRPr="00F64639">
        <w:t>mékek iránti alacsony felvásárlói igény.</w:t>
      </w:r>
    </w:p>
    <w:p w:rsidR="007B7848" w:rsidRDefault="007B7848" w:rsidP="009036DA">
      <w:pPr>
        <w:pStyle w:val="HUNNormal"/>
      </w:pPr>
      <w:r w:rsidRPr="00F64639">
        <w:rPr>
          <w:b/>
        </w:rPr>
        <w:t>Hatás, illetve hatékonyságvizsgálatot</w:t>
      </w:r>
      <w:r w:rsidRPr="00F64639">
        <w:t xml:space="preserve"> a projektek kis számára és kezdeti státuszára tekintettel nem tudtunk végezni.</w:t>
      </w:r>
    </w:p>
    <w:p w:rsidR="00E60698" w:rsidRDefault="00E60698" w:rsidP="009036DA">
      <w:pPr>
        <w:pStyle w:val="HUNNormal"/>
      </w:pPr>
    </w:p>
    <w:p w:rsidR="00E60698" w:rsidRDefault="00E60698" w:rsidP="009036DA">
      <w:pPr>
        <w:pStyle w:val="HUNNormal"/>
      </w:pPr>
    </w:p>
    <w:p w:rsidR="00E60698" w:rsidRPr="00F64639" w:rsidRDefault="00E60698" w:rsidP="009036DA">
      <w:pPr>
        <w:pStyle w:val="HUNNormal"/>
      </w:pPr>
    </w:p>
    <w:p w:rsidR="00BA3419" w:rsidRPr="00F64639" w:rsidRDefault="00BA3419" w:rsidP="00E60698">
      <w:pPr>
        <w:pStyle w:val="HUNHeading3"/>
        <w:ind w:hanging="1224"/>
      </w:pPr>
      <w:bookmarkStart w:id="20" w:name="_Toc280786854"/>
      <w:r w:rsidRPr="00F64639">
        <w:t>Mezőgazdasági és erdészeti infrastruktúra (125. intézkedés)</w:t>
      </w:r>
      <w:bookmarkEnd w:id="20"/>
    </w:p>
    <w:p w:rsidR="00836285" w:rsidRPr="00F64639" w:rsidRDefault="00836285" w:rsidP="004A0BC4">
      <w:pPr>
        <w:pStyle w:val="HUNNormal"/>
        <w:tabs>
          <w:tab w:val="left" w:pos="709"/>
        </w:tabs>
      </w:pPr>
      <w:r w:rsidRPr="00F64639">
        <w:t>Az intézkedés finanszírozta az öntözés, melioráció, területi vízgazdálkodás mezőgazdasági üzemi és közö</w:t>
      </w:r>
      <w:r w:rsidRPr="00F64639">
        <w:t>s</w:t>
      </w:r>
      <w:r w:rsidRPr="00F64639">
        <w:t>ségi létesítmén</w:t>
      </w:r>
      <w:r w:rsidR="000E02BE">
        <w:t>yeinek támogatása című jogcímet a közösségi létesítmények tekintetében.</w:t>
      </w:r>
    </w:p>
    <w:p w:rsidR="00A55DD6" w:rsidRPr="00F64639" w:rsidRDefault="004A0BC4" w:rsidP="00A55DD6">
      <w:pPr>
        <w:autoSpaceDE w:val="0"/>
        <w:autoSpaceDN w:val="0"/>
        <w:adjustRightInd w:val="0"/>
        <w:jc w:val="both"/>
        <w:rPr>
          <w:rFonts w:cs="Vrinda"/>
          <w:lang w:bidi="bn-IN"/>
        </w:rPr>
      </w:pPr>
      <w:r w:rsidRPr="00F64639">
        <w:t xml:space="preserve">A jogcím kitűzött célja </w:t>
      </w:r>
      <w:r w:rsidR="00A55DD6" w:rsidRPr="00F64639">
        <w:rPr>
          <w:rFonts w:cs="Vrinda"/>
          <w:lang w:bidi="bn-IN"/>
        </w:rPr>
        <w:t>hozzájárulni a mezőgazdasági vízgazdálkodás területén a környezetkímélő, víz és energiatakarékos öntözési, a talaj védelmét, vízmegtartó képességét javító meliorációs, és a felszíni és fe</w:t>
      </w:r>
      <w:r w:rsidR="00A55DD6" w:rsidRPr="00F64639">
        <w:rPr>
          <w:rFonts w:cs="Vrinda"/>
          <w:lang w:bidi="bn-IN"/>
        </w:rPr>
        <w:t>l</w:t>
      </w:r>
      <w:r w:rsidR="00A55DD6" w:rsidRPr="00F64639">
        <w:rPr>
          <w:rFonts w:cs="Vrinda"/>
          <w:lang w:bidi="bn-IN"/>
        </w:rPr>
        <w:t>szín alatti vizek jó állapotát, a belvízvédelmet és vízkárelhárítást, továbbá a mezőgazdasági termelés bizto</w:t>
      </w:r>
      <w:r w:rsidR="00A55DD6" w:rsidRPr="00F64639">
        <w:rPr>
          <w:rFonts w:cs="Vrinda"/>
          <w:lang w:bidi="bn-IN"/>
        </w:rPr>
        <w:t>n</w:t>
      </w:r>
      <w:r w:rsidR="00A55DD6" w:rsidRPr="00F64639">
        <w:rPr>
          <w:rFonts w:cs="Vrinda"/>
          <w:lang w:bidi="bn-IN"/>
        </w:rPr>
        <w:t>sága érdekében a vízhiány csökkentését, a vizek és vizes élőhelyek jó ökológiai állapotának elérését, megő</w:t>
      </w:r>
      <w:r w:rsidR="00A55DD6" w:rsidRPr="00F64639">
        <w:rPr>
          <w:rFonts w:cs="Vrinda"/>
          <w:lang w:bidi="bn-IN"/>
        </w:rPr>
        <w:t>r</w:t>
      </w:r>
      <w:r w:rsidR="00A55DD6" w:rsidRPr="00F64639">
        <w:rPr>
          <w:rFonts w:cs="Vrinda"/>
          <w:lang w:bidi="bn-IN"/>
        </w:rPr>
        <w:t>zését szolgáló mezőgazdasági üzemi és közösségi beruházások megvalósításához.</w:t>
      </w:r>
    </w:p>
    <w:p w:rsidR="004A0BC4" w:rsidRPr="00F64639" w:rsidRDefault="004A0BC4" w:rsidP="004A0BC4">
      <w:pPr>
        <w:pStyle w:val="HUNNormal"/>
        <w:tabs>
          <w:tab w:val="left" w:pos="709"/>
        </w:tabs>
      </w:pPr>
      <w:r w:rsidRPr="00F64639">
        <w:lastRenderedPageBreak/>
        <w:t xml:space="preserve">A következő táblázat szemlélteti a jogcím főbb </w:t>
      </w:r>
      <w:proofErr w:type="gramStart"/>
      <w:r w:rsidRPr="00F64639">
        <w:t>adatait</w:t>
      </w:r>
      <w:r w:rsidRPr="00F64639">
        <w:rPr>
          <w:rStyle w:val="FootnoteReference"/>
        </w:rPr>
        <w:footnoteReference w:id="92"/>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4A0BC4" w:rsidRPr="00F64639" w:rsidTr="007B03E6">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Öntözés, melioráció, területi vízgazdálkodás</w:t>
            </w:r>
          </w:p>
        </w:tc>
      </w:tr>
      <w:tr w:rsidR="004A0BC4" w:rsidRPr="00F64639" w:rsidTr="007B03E6">
        <w:tc>
          <w:tcPr>
            <w:tcW w:w="2778" w:type="pct"/>
            <w:tcBorders>
              <w:top w:val="single" w:sz="8" w:space="0" w:color="FFFFFF"/>
              <w:left w:val="single" w:sz="8" w:space="0" w:color="FFFFFF"/>
              <w:bottom w:val="nil"/>
              <w:right w:val="single" w:sz="24"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4A0BC4" w:rsidRPr="00F64639" w:rsidRDefault="00D35DC6" w:rsidP="007B03E6">
            <w:pPr>
              <w:jc w:val="center"/>
              <w:rPr>
                <w:rFonts w:cs="Arial"/>
                <w:sz w:val="18"/>
                <w:szCs w:val="18"/>
              </w:rPr>
            </w:pPr>
            <w:r w:rsidRPr="00F64639">
              <w:rPr>
                <w:rFonts w:cs="Arial"/>
                <w:sz w:val="18"/>
                <w:szCs w:val="18"/>
              </w:rPr>
              <w:t xml:space="preserve">109 940 846 </w:t>
            </w:r>
            <w:r w:rsidR="006735DE" w:rsidRPr="00F64639">
              <w:rPr>
                <w:rFonts w:cs="Arial"/>
                <w:sz w:val="18"/>
                <w:szCs w:val="18"/>
              </w:rPr>
              <w:t>EUR</w:t>
            </w:r>
          </w:p>
        </w:tc>
      </w:tr>
      <w:tr w:rsidR="004A0BC4" w:rsidRPr="00F64639" w:rsidTr="007B03E6">
        <w:tc>
          <w:tcPr>
            <w:tcW w:w="2778" w:type="pct"/>
            <w:tcBorders>
              <w:left w:val="single" w:sz="8" w:space="0" w:color="FFFFFF"/>
              <w:bottom w:val="nil"/>
              <w:right w:val="single" w:sz="24"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4A0BC4" w:rsidRPr="00F64639" w:rsidRDefault="004A0BC4" w:rsidP="007B03E6">
            <w:pPr>
              <w:jc w:val="center"/>
              <w:rPr>
                <w:iCs/>
                <w:szCs w:val="22"/>
              </w:rPr>
            </w:pPr>
            <w:r w:rsidRPr="00F64639">
              <w:rPr>
                <w:iCs/>
                <w:szCs w:val="22"/>
              </w:rPr>
              <w:t>268 db</w:t>
            </w:r>
          </w:p>
        </w:tc>
      </w:tr>
      <w:tr w:rsidR="004A0BC4" w:rsidRPr="00F64639" w:rsidTr="007B03E6">
        <w:tc>
          <w:tcPr>
            <w:tcW w:w="2778" w:type="pct"/>
            <w:tcBorders>
              <w:top w:val="single" w:sz="8" w:space="0" w:color="FFFFFF"/>
              <w:left w:val="single" w:sz="8" w:space="0" w:color="FFFFFF"/>
              <w:bottom w:val="nil"/>
              <w:right w:val="single" w:sz="24"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4A0BC4" w:rsidRPr="00F64639" w:rsidRDefault="004A0BC4" w:rsidP="007B03E6">
            <w:pPr>
              <w:jc w:val="center"/>
              <w:rPr>
                <w:iCs/>
                <w:szCs w:val="22"/>
              </w:rPr>
            </w:pPr>
            <w:r w:rsidRPr="00F64639">
              <w:rPr>
                <w:iCs/>
                <w:szCs w:val="22"/>
              </w:rPr>
              <w:t>268 db</w:t>
            </w:r>
          </w:p>
        </w:tc>
      </w:tr>
      <w:tr w:rsidR="004A0BC4" w:rsidRPr="00F64639" w:rsidTr="007B03E6">
        <w:tc>
          <w:tcPr>
            <w:tcW w:w="2778" w:type="pct"/>
            <w:tcBorders>
              <w:left w:val="single" w:sz="8" w:space="0" w:color="FFFFFF"/>
              <w:bottom w:val="nil"/>
              <w:right w:val="single" w:sz="24"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4A0BC4" w:rsidRPr="00F64639" w:rsidRDefault="004A0BC4" w:rsidP="007B03E6">
            <w:pPr>
              <w:jc w:val="center"/>
              <w:rPr>
                <w:iCs/>
                <w:szCs w:val="22"/>
              </w:rPr>
            </w:pPr>
            <w:r w:rsidRPr="00F64639">
              <w:rPr>
                <w:iCs/>
                <w:szCs w:val="22"/>
              </w:rPr>
              <w:t>275 db</w:t>
            </w:r>
          </w:p>
        </w:tc>
      </w:tr>
      <w:tr w:rsidR="004A0BC4" w:rsidRPr="00F64639" w:rsidTr="007B03E6">
        <w:tc>
          <w:tcPr>
            <w:tcW w:w="2778" w:type="pct"/>
            <w:tcBorders>
              <w:top w:val="single" w:sz="8" w:space="0" w:color="FFFFFF"/>
              <w:left w:val="single" w:sz="8" w:space="0" w:color="FFFFFF"/>
              <w:bottom w:val="nil"/>
              <w:right w:val="single" w:sz="24"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4A0BC4" w:rsidRPr="00F64639" w:rsidRDefault="004A0BC4" w:rsidP="007B03E6">
            <w:pPr>
              <w:jc w:val="center"/>
              <w:rPr>
                <w:iCs/>
                <w:szCs w:val="22"/>
              </w:rPr>
            </w:pPr>
            <w:r w:rsidRPr="00F64639">
              <w:rPr>
                <w:iCs/>
                <w:szCs w:val="22"/>
              </w:rPr>
              <w:t>8 301 522 602 Ft</w:t>
            </w:r>
            <w:r w:rsidRPr="00F64639">
              <w:rPr>
                <w:rStyle w:val="FootnoteReference"/>
                <w:iCs/>
                <w:szCs w:val="22"/>
              </w:rPr>
              <w:footnoteReference w:id="93"/>
            </w:r>
          </w:p>
        </w:tc>
      </w:tr>
      <w:tr w:rsidR="004A0BC4" w:rsidRPr="00F64639" w:rsidTr="007B03E6">
        <w:tc>
          <w:tcPr>
            <w:tcW w:w="2778" w:type="pct"/>
            <w:tcBorders>
              <w:left w:val="single" w:sz="8" w:space="0" w:color="FFFFFF"/>
              <w:right w:val="single" w:sz="24" w:space="0" w:color="FFFFFF"/>
            </w:tcBorders>
            <w:shd w:val="clear" w:color="auto" w:fill="C0504D"/>
          </w:tcPr>
          <w:p w:rsidR="004A0BC4" w:rsidRPr="00F64639" w:rsidRDefault="004A0BC4" w:rsidP="007B03E6">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4A0BC4" w:rsidRPr="00F64639" w:rsidRDefault="004A0BC4" w:rsidP="007B03E6">
            <w:pPr>
              <w:jc w:val="center"/>
              <w:rPr>
                <w:iCs/>
                <w:szCs w:val="22"/>
              </w:rPr>
            </w:pPr>
            <w:r w:rsidRPr="00F64639">
              <w:t>2 893 319 483 Ft</w:t>
            </w:r>
            <w:r w:rsidRPr="00F64639">
              <w:rPr>
                <w:rStyle w:val="FootnoteReference"/>
                <w:iCs/>
                <w:szCs w:val="22"/>
              </w:rPr>
              <w:footnoteReference w:id="94"/>
            </w:r>
          </w:p>
        </w:tc>
      </w:tr>
    </w:tbl>
    <w:p w:rsidR="004A0BC4"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37</w:t>
      </w:r>
      <w:r w:rsidRPr="00F64639">
        <w:rPr>
          <w:color w:val="auto"/>
        </w:rPr>
        <w:fldChar w:fldCharType="end"/>
      </w:r>
      <w:r w:rsidR="00AB435B" w:rsidRPr="00F64639">
        <w:rPr>
          <w:color w:val="auto"/>
        </w:rPr>
        <w:t>. táblázat: A jogcím általános jellemzői</w:t>
      </w:r>
    </w:p>
    <w:p w:rsidR="004A0BC4" w:rsidRPr="00F64639" w:rsidRDefault="004A0BC4" w:rsidP="004A0BC4">
      <w:pPr>
        <w:pStyle w:val="HUNNormal"/>
        <w:tabs>
          <w:tab w:val="left" w:pos="709"/>
        </w:tabs>
      </w:pPr>
      <w:r w:rsidRPr="00F64639">
        <w:t xml:space="preserve">A jogcím keretén belül (121 és 125 intézkedés jogcímei összesen!) </w:t>
      </w:r>
      <w:proofErr w:type="gramStart"/>
      <w:r w:rsidRPr="00F64639">
        <w:t>eddig</w:t>
      </w:r>
      <w:proofErr w:type="gramEnd"/>
      <w:r w:rsidRPr="00F64639">
        <w:t xml:space="preserve"> három benyújtási időszakot hirde</w:t>
      </w:r>
      <w:r w:rsidRPr="00F64639">
        <w:t>t</w:t>
      </w:r>
      <w:r w:rsidRPr="00F64639">
        <w:t>tek meg. Az első kör 2008.03.28-tól 20</w:t>
      </w:r>
      <w:r w:rsidR="006735DE" w:rsidRPr="00F64639">
        <w:t>08</w:t>
      </w:r>
      <w:r w:rsidR="000E02BE">
        <w:t xml:space="preserve">.05.05-ig </w:t>
      </w:r>
      <w:r w:rsidRPr="00F64639">
        <w:t>tartott, a második 2008.06.16-tól 20</w:t>
      </w:r>
      <w:r w:rsidR="006735DE" w:rsidRPr="00F64639">
        <w:t>08</w:t>
      </w:r>
      <w:r w:rsidRPr="00F64639">
        <w:t>.07.16-ig, míg a harmadik 2009.11.01-től 2009.11.30-ig. 2010.06-30-ig összesen 680 támogatási kérelem érkezett be: ebből 448 db 2008-ban, míg 232 db 2009-ben.</w:t>
      </w:r>
    </w:p>
    <w:p w:rsidR="004A0BC4" w:rsidRPr="00F64639" w:rsidRDefault="004A0BC4" w:rsidP="004A0BC4">
      <w:pPr>
        <w:pStyle w:val="HUNNormal"/>
        <w:tabs>
          <w:tab w:val="left" w:pos="709"/>
        </w:tabs>
      </w:pPr>
      <w:r w:rsidRPr="00F64639">
        <w:t>A jóváhagyott támogatási kérelmek megyei megoszlása nem tekinthető egyenletesnek: kimagasló arányt (15,76%) képvisel Szabolcs-Szatmár-Bereg megye, ezt követi Hajdú-Bihar (9,78%), Bács-Kiskun (9,24%), valamint Jász-Nagykun-Szolnok megye (8,7%). A legkevesebb jóváhagyott kérelem Budapestről, Nógrád és Veszprém megyéből érkezett (rendre 0,54%, 1,63% és 2,17%).</w:t>
      </w:r>
    </w:p>
    <w:p w:rsidR="004A0BC4" w:rsidRPr="00F64639" w:rsidRDefault="004A0BC4" w:rsidP="004A0BC4">
      <w:pPr>
        <w:pStyle w:val="HUNNormal"/>
        <w:tabs>
          <w:tab w:val="left" w:pos="709"/>
        </w:tabs>
      </w:pPr>
      <w:r w:rsidRPr="00F64639">
        <w:rPr>
          <w:b/>
        </w:rPr>
        <w:t>A támogatottak 32%-a magánszemély, míg 68%-a szervezet – elsősorban kis- és középvállalkozás (a szerv</w:t>
      </w:r>
      <w:r w:rsidRPr="00F64639">
        <w:rPr>
          <w:b/>
        </w:rPr>
        <w:t>e</w:t>
      </w:r>
      <w:r w:rsidRPr="00F64639">
        <w:rPr>
          <w:b/>
        </w:rPr>
        <w:t>zeten belül 38%-os aránnyal).</w:t>
      </w:r>
      <w:r w:rsidR="00836285" w:rsidRPr="00F64639">
        <w:rPr>
          <w:b/>
        </w:rPr>
        <w:t xml:space="preserve"> </w:t>
      </w:r>
      <w:r w:rsidR="00836285" w:rsidRPr="00F64639">
        <w:t>A</w:t>
      </w:r>
      <w:r w:rsidRPr="00F64639">
        <w:t>z IIER adatai szerint a nagyvállalkozások szervezeten belüli aránya 17%, míg 34%-nyi támogatottnak nincs rögzítve a szervezeti mérete.</w:t>
      </w:r>
    </w:p>
    <w:p w:rsidR="004A0BC4" w:rsidRPr="00F64639" w:rsidRDefault="004A0BC4" w:rsidP="004A0BC4">
      <w:pPr>
        <w:pStyle w:val="HUNNormal"/>
        <w:tabs>
          <w:tab w:val="left" w:pos="709"/>
        </w:tabs>
      </w:pPr>
      <w:r w:rsidRPr="00F64639">
        <w:t>Ami a jóváhagyott támogatási kérelmek kistérségi megoszlását illeti, megállapítható, hogy a kérelmek 59%-a került ki hátrányos helyzetű, LHH, vagy komplex LHH kistérségből (LHH és komplex LHH összesen a jóváh</w:t>
      </w:r>
      <w:r w:rsidRPr="00F64639">
        <w:t>a</w:t>
      </w:r>
      <w:r w:rsidRPr="00F64639">
        <w:t>gyott kérelmek 30%-át teszi ki).</w:t>
      </w:r>
    </w:p>
    <w:p w:rsidR="004A0BC4" w:rsidRPr="00F64639" w:rsidRDefault="004A0BC4" w:rsidP="004A0BC4">
      <w:pPr>
        <w:pStyle w:val="HUNNormal"/>
        <w:tabs>
          <w:tab w:val="left" w:pos="709"/>
        </w:tabs>
      </w:pPr>
      <w:r w:rsidRPr="00F64639">
        <w:t>A jogcím keretében beérkezett támogatási és kifizetési kérelmek elbírálási ideje megítélésünk szerint n</w:t>
      </w:r>
      <w:r w:rsidRPr="00F64639">
        <w:t>a</w:t>
      </w:r>
      <w:r w:rsidRPr="00F64639">
        <w:t>gyon hosszú: átlagosan egy támogatási kérelem 290, míg egy kifi</w:t>
      </w:r>
      <w:r w:rsidR="000E02BE">
        <w:t>zetési kérelem 120 naptári nappal</w:t>
      </w:r>
      <w:r w:rsidRPr="00F64639">
        <w:t xml:space="preserve"> áll a rendszerben. </w:t>
      </w:r>
    </w:p>
    <w:p w:rsidR="004A0BC4" w:rsidRPr="00F64639" w:rsidRDefault="004A0BC4" w:rsidP="004A0BC4">
      <w:pPr>
        <w:pStyle w:val="HUNNormal"/>
        <w:tabs>
          <w:tab w:val="left" w:pos="709"/>
        </w:tabs>
      </w:pPr>
      <w:r w:rsidRPr="00F64639">
        <w:t xml:space="preserve">Az e-monitoring adatok elemzésekor megállapítottuk, hogy az adatszolgáltatási fegyelem kiemelkedő: a 268 kedvezményezett közül 246-an adtak be monitoring adatokat (92%!). Az adatszolgáltatás megbízhatósága megítélésünk szerint már kevésbé mutat jó eredményt, ezért összesen két értékelhető adatkört találtunk az adatbázisban. A kedvezményezettekre leginkább jellemző mezőgazdasági ágazat – az adatbázis szerint – a szántóföldi gabonatermesztés (28%), a szántóföldi „egyéb” növények termesztése (22%). </w:t>
      </w:r>
      <w:r w:rsidR="00836285" w:rsidRPr="00F64639">
        <w:t>E</w:t>
      </w:r>
      <w:r w:rsidRPr="00F64639">
        <w:t>zzel szemben a szántóföldi zöldségtermesztést és (gyümölcs)ültetvényt az adatszolgáltatók 9-9%-</w:t>
      </w:r>
      <w:proofErr w:type="gramStart"/>
      <w:r w:rsidRPr="00F64639">
        <w:t>a</w:t>
      </w:r>
      <w:proofErr w:type="gramEnd"/>
      <w:r w:rsidRPr="00F64639">
        <w:t>, míg kertészeti tevéken</w:t>
      </w:r>
      <w:r w:rsidRPr="00F64639">
        <w:t>y</w:t>
      </w:r>
      <w:r w:rsidRPr="00F64639">
        <w:t>séget 6%-a jelölt meg.</w:t>
      </w:r>
      <w:r w:rsidR="00A55DD6" w:rsidRPr="00F64639">
        <w:t xml:space="preserve"> Ugyanakkor a támogatott fejlesztést nem feltétlenül a legjellemzőbb tevékenységük </w:t>
      </w:r>
      <w:r w:rsidR="00A55DD6" w:rsidRPr="00F64639">
        <w:lastRenderedPageBreak/>
        <w:t>keretében végzik a nyertesek. Az adatokat óvatosan csak ezzel a megkötéssel lehet a támogatásra érte</w:t>
      </w:r>
      <w:r w:rsidR="00A55DD6" w:rsidRPr="00F64639">
        <w:t>l</w:t>
      </w:r>
      <w:r w:rsidR="00A55DD6" w:rsidRPr="00F64639">
        <w:t>mezni.</w:t>
      </w:r>
    </w:p>
    <w:p w:rsidR="00EB6C9F" w:rsidRPr="00F64639" w:rsidRDefault="00EB6C9F" w:rsidP="004A0BC4">
      <w:pPr>
        <w:pStyle w:val="HUNNormal"/>
        <w:tabs>
          <w:tab w:val="left" w:pos="709"/>
        </w:tabs>
      </w:pPr>
      <w:r w:rsidRPr="00F64639">
        <w:t>Ami a fejlesztéssel érintett terület típusát illeti, a monitoring adatok alapján ezek 88%-</w:t>
      </w:r>
      <w:proofErr w:type="gramStart"/>
      <w:r w:rsidRPr="00F64639">
        <w:t>a</w:t>
      </w:r>
      <w:proofErr w:type="gramEnd"/>
      <w:r w:rsidRPr="00F64639">
        <w:t xml:space="preserve"> egyéb, vegyes, vagy nem megállapítható, míg 3%-a KAT, 2%-a NATURA 2000 alá tartozó területet jelez.</w:t>
      </w:r>
    </w:p>
    <w:p w:rsidR="006735DE" w:rsidRPr="00F64639" w:rsidRDefault="006735DE" w:rsidP="004A0BC4">
      <w:pPr>
        <w:pStyle w:val="HUNNormal"/>
        <w:tabs>
          <w:tab w:val="left" w:pos="709"/>
        </w:tabs>
        <w:rPr>
          <w:b/>
        </w:rPr>
      </w:pPr>
      <w:r w:rsidRPr="00F64639">
        <w:rPr>
          <w:b/>
        </w:rPr>
        <w:t>Relevanciaelemzés</w:t>
      </w:r>
    </w:p>
    <w:p w:rsidR="006735DE" w:rsidRPr="00F64639" w:rsidRDefault="006735DE" w:rsidP="004A0BC4">
      <w:pPr>
        <w:pStyle w:val="HUNNormal"/>
        <w:tabs>
          <w:tab w:val="left" w:pos="709"/>
        </w:tabs>
      </w:pPr>
      <w:r w:rsidRPr="00F64639">
        <w:t>A jogcímet relevánsnak találtuk a megfogalmazott célok szempontjából, mert az öntözés korszerűsítése eg</w:t>
      </w:r>
      <w:r w:rsidRPr="00F64639">
        <w:t>y</w:t>
      </w:r>
      <w:r w:rsidRPr="00F64639">
        <w:t>szerre javíthatja a versenyképességet és csökkentheti a fajlagos vízfelhasználást.</w:t>
      </w:r>
      <w:r w:rsidR="00E67E13" w:rsidRPr="00F64639">
        <w:t xml:space="preserve"> A támogatott projektek száma (268) már meg is haladja az </w:t>
      </w:r>
      <w:proofErr w:type="spellStart"/>
      <w:r w:rsidR="00E67E13" w:rsidRPr="00F64639">
        <w:t>ÚMVP-ben</w:t>
      </w:r>
      <w:proofErr w:type="spellEnd"/>
      <w:r w:rsidR="00E67E13" w:rsidRPr="00F64639">
        <w:t xml:space="preserve"> a vízgazdálkodásra kitűzött 250-es értéket</w:t>
      </w:r>
      <w:r w:rsidR="001F6726">
        <w:t>.</w:t>
      </w:r>
    </w:p>
    <w:p w:rsidR="006735DE" w:rsidRPr="00F64639" w:rsidRDefault="006735DE" w:rsidP="004A0BC4">
      <w:pPr>
        <w:pStyle w:val="HUNNormal"/>
        <w:tabs>
          <w:tab w:val="left" w:pos="709"/>
        </w:tabs>
        <w:rPr>
          <w:b/>
        </w:rPr>
      </w:pPr>
      <w:r w:rsidRPr="00F64639">
        <w:rPr>
          <w:b/>
        </w:rPr>
        <w:t>Hatáselemzés</w:t>
      </w:r>
    </w:p>
    <w:p w:rsidR="006735DE" w:rsidRPr="00F64639" w:rsidRDefault="006735DE" w:rsidP="004A0BC4">
      <w:pPr>
        <w:pStyle w:val="HUNNormal"/>
        <w:tabs>
          <w:tab w:val="left" w:pos="709"/>
        </w:tabs>
      </w:pPr>
      <w:r w:rsidRPr="00F64639">
        <w:t xml:space="preserve">A jogcím kapcsán a jövedelmezőség növekedését feltételeztük. Ebben a tekintetben a </w:t>
      </w:r>
      <w:fldSimple w:instr=" REF _Ref279009315 \r \h  \* MERGEFORMAT ">
        <w:r w:rsidR="00E30745" w:rsidRPr="00F64639">
          <w:t>2.5.7</w:t>
        </w:r>
      </w:fldSimple>
      <w:r w:rsidRPr="00F64639">
        <w:t>. alfejezetben leírtak a mérvadók itt is.</w:t>
      </w:r>
    </w:p>
    <w:p w:rsidR="004A0BC4" w:rsidRPr="00F64639" w:rsidRDefault="006735DE" w:rsidP="004A0BC4">
      <w:pPr>
        <w:pStyle w:val="HUNNormal"/>
        <w:tabs>
          <w:tab w:val="left" w:pos="709"/>
        </w:tabs>
      </w:pPr>
      <w:r w:rsidRPr="00F64639">
        <w:t xml:space="preserve">A vízgazdálkodásra, vízháztartásra gyakorolt hatások tekintetében a </w:t>
      </w:r>
      <w:proofErr w:type="gramStart"/>
      <w:r w:rsidR="004A0BC4" w:rsidRPr="00F64639">
        <w:t>jogcím(</w:t>
      </w:r>
      <w:proofErr w:type="spellStart"/>
      <w:proofErr w:type="gramEnd"/>
      <w:r w:rsidR="004A0BC4" w:rsidRPr="00F64639">
        <w:t>ek</w:t>
      </w:r>
      <w:proofErr w:type="spellEnd"/>
      <w:r w:rsidR="004A0BC4" w:rsidRPr="00F64639">
        <w:t>) vizsgálata során megállapí</w:t>
      </w:r>
      <w:r w:rsidR="004A0BC4" w:rsidRPr="00F64639">
        <w:t>t</w:t>
      </w:r>
      <w:r w:rsidR="004A0BC4" w:rsidRPr="00F64639">
        <w:t>ható volt, hogy a jogcím indulásától eltelt idő hossza, valamint a támogatott projektek száma nem volt olyan méretű, hogy az kimutatható, valós hatást fejtett volna</w:t>
      </w:r>
      <w:r w:rsidR="00FD7D1B" w:rsidRPr="00F64639">
        <w:t xml:space="preserve"> ki </w:t>
      </w:r>
      <w:r w:rsidRPr="00F64639">
        <w:t>a releváns</w:t>
      </w:r>
      <w:r w:rsidR="00FD7D1B" w:rsidRPr="00F64639">
        <w:t xml:space="preserve"> indikátorokra.</w:t>
      </w:r>
    </w:p>
    <w:p w:rsidR="00FD7D1B" w:rsidRPr="00F64639" w:rsidRDefault="006735DE" w:rsidP="004A0BC4">
      <w:pPr>
        <w:pStyle w:val="HUNNormal"/>
        <w:tabs>
          <w:tab w:val="left" w:pos="709"/>
        </w:tabs>
        <w:rPr>
          <w:b/>
        </w:rPr>
      </w:pPr>
      <w:r w:rsidRPr="00F64639">
        <w:rPr>
          <w:b/>
        </w:rPr>
        <w:t>Potenciálvizsgálat</w:t>
      </w:r>
    </w:p>
    <w:p w:rsidR="008D1B1F" w:rsidRPr="00F64639" w:rsidRDefault="006735DE" w:rsidP="004A0BC4">
      <w:pPr>
        <w:pStyle w:val="HUNNormal"/>
        <w:tabs>
          <w:tab w:val="left" w:pos="709"/>
        </w:tabs>
      </w:pPr>
      <w:r w:rsidRPr="00F64639">
        <w:t xml:space="preserve">Potenciálvizsgálatot a foglalkoztatási és környezeti hatásokra végeztünk. A foglalkoztatás terén a nyertesek üzleti terveinek megvalósítása 230 fő létszámcsökkenést okoz majd várhatóan. </w:t>
      </w:r>
    </w:p>
    <w:p w:rsidR="006735DE" w:rsidRPr="00F64639" w:rsidRDefault="006735DE" w:rsidP="004A0BC4">
      <w:pPr>
        <w:pStyle w:val="HUNNormal"/>
        <w:tabs>
          <w:tab w:val="left" w:pos="709"/>
        </w:tabs>
      </w:pPr>
      <w:r w:rsidRPr="00F64639">
        <w:t>A</w:t>
      </w:r>
      <w:r w:rsidR="00EB6C9F" w:rsidRPr="00F64639">
        <w:t xml:space="preserve"> potenciális</w:t>
      </w:r>
      <w:r w:rsidRPr="00F64639">
        <w:t xml:space="preserve"> környezeti hatást a beruházás</w:t>
      </w:r>
      <w:r w:rsidR="00EB6C9F" w:rsidRPr="00F64639">
        <w:t xml:space="preserve">i helyszínek és az érzékeny vízbázisok </w:t>
      </w:r>
      <w:proofErr w:type="spellStart"/>
      <w:r w:rsidR="00EB6C9F" w:rsidRPr="00F64639">
        <w:t>fedvényének</w:t>
      </w:r>
      <w:proofErr w:type="spellEnd"/>
      <w:r w:rsidR="00EB6C9F" w:rsidRPr="00F64639">
        <w:t xml:space="preserve"> átfedéses vizsgálatával közelítettük.</w:t>
      </w:r>
    </w:p>
    <w:p w:rsidR="006735DE" w:rsidRPr="00F64639" w:rsidRDefault="006735DE" w:rsidP="006735DE">
      <w:pPr>
        <w:pStyle w:val="HUNNormal"/>
        <w:tabs>
          <w:tab w:val="left" w:pos="709"/>
        </w:tabs>
      </w:pPr>
      <w:r w:rsidRPr="00F64639">
        <w:t>A településsorosan megadott támogatási kérelmek alapján megállapítható, hogy a beérkezett támogatási kérelmek 28%-</w:t>
      </w:r>
      <w:proofErr w:type="gramStart"/>
      <w:r w:rsidRPr="00F64639">
        <w:t>a</w:t>
      </w:r>
      <w:proofErr w:type="gramEnd"/>
      <w:r w:rsidRPr="00F64639">
        <w:t xml:space="preserve"> esett nitrát érzékeny és kevesebb, mint 5%-sérülékeny vízbázisú területekre, 1%-a pedig olyan kére</w:t>
      </w:r>
      <w:r w:rsidR="00EB6C9F" w:rsidRPr="00F64639">
        <w:t>le</w:t>
      </w:r>
      <w:r w:rsidRPr="00F64639">
        <w:t>m volt, melynél a megvalósítandó projekt mind sérülékenynek, mind nitrát érzékenynek minős</w:t>
      </w:r>
      <w:r w:rsidRPr="00F64639">
        <w:t>í</w:t>
      </w:r>
      <w:r w:rsidRPr="00F64639">
        <w:t>tett területre esett</w:t>
      </w:r>
      <w:r w:rsidRPr="00F64639">
        <w:rPr>
          <w:rStyle w:val="FootnoteReference"/>
        </w:rPr>
        <w:footnoteReference w:id="95"/>
      </w:r>
      <w:r w:rsidRPr="00F64639">
        <w:t>. A következő ábra részletesen bemutatja a jogcímben támogatást nyert településeket, továbbá nitrát érzékenység és sérülékenység szempontú besorolásukat.</w:t>
      </w:r>
    </w:p>
    <w:p w:rsidR="00EB6C9F" w:rsidRPr="00F64639" w:rsidRDefault="00374E45" w:rsidP="00EB6C9F">
      <w:pPr>
        <w:pStyle w:val="HUNNormal"/>
        <w:tabs>
          <w:tab w:val="left" w:pos="709"/>
        </w:tabs>
        <w:jc w:val="center"/>
        <w:rPr>
          <w:sz w:val="24"/>
        </w:rPr>
      </w:pPr>
      <w:r w:rsidRPr="00F64639">
        <w:rPr>
          <w:noProof/>
          <w:sz w:val="24"/>
        </w:rPr>
        <w:lastRenderedPageBreak/>
        <w:drawing>
          <wp:inline distT="0" distB="0" distL="0" distR="0">
            <wp:extent cx="5020783" cy="3505220"/>
            <wp:effectExtent l="19050" t="0" r="8417" b="0"/>
            <wp:docPr id="10" name="Picture 3" descr="onto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tozes.jpg"/>
                    <pic:cNvPicPr>
                      <a:picLocks noChangeAspect="1" noChangeArrowheads="1"/>
                    </pic:cNvPicPr>
                  </pic:nvPicPr>
                  <pic:blipFill>
                    <a:blip r:embed="rId17" cstate="print"/>
                    <a:srcRect/>
                    <a:stretch>
                      <a:fillRect/>
                    </a:stretch>
                  </pic:blipFill>
                  <pic:spPr bwMode="auto">
                    <a:xfrm>
                      <a:off x="0" y="0"/>
                      <a:ext cx="5017517" cy="3502940"/>
                    </a:xfrm>
                    <a:prstGeom prst="rect">
                      <a:avLst/>
                    </a:prstGeom>
                    <a:solidFill>
                      <a:srgbClr val="D9D9D9"/>
                    </a:solidFill>
                    <a:ln w="9525">
                      <a:noFill/>
                      <a:miter lim="800000"/>
                      <a:headEnd/>
                      <a:tailEnd/>
                    </a:ln>
                  </pic:spPr>
                </pic:pic>
              </a:graphicData>
            </a:graphic>
          </wp:inline>
        </w:drawing>
      </w:r>
    </w:p>
    <w:p w:rsidR="00EB6C9F" w:rsidRPr="00F64639" w:rsidRDefault="00075A29" w:rsidP="00EB6C9F">
      <w:pPr>
        <w:pStyle w:val="Caption"/>
        <w:spacing w:before="60" w:after="120" w:line="280" w:lineRule="atLeast"/>
        <w:jc w:val="center"/>
        <w:rPr>
          <w:color w:val="auto"/>
        </w:rPr>
      </w:pPr>
      <w:r w:rsidRPr="00F64639">
        <w:rPr>
          <w:color w:val="auto"/>
        </w:rPr>
        <w:fldChar w:fldCharType="begin"/>
      </w:r>
      <w:r w:rsidR="00EB6C9F" w:rsidRPr="00F64639">
        <w:rPr>
          <w:color w:val="auto"/>
        </w:rPr>
        <w:instrText xml:space="preserve"> SEQ ábra \* ARABIC </w:instrText>
      </w:r>
      <w:r w:rsidRPr="00F64639">
        <w:rPr>
          <w:color w:val="auto"/>
        </w:rPr>
        <w:fldChar w:fldCharType="separate"/>
      </w:r>
      <w:r w:rsidR="00E30745" w:rsidRPr="00F64639">
        <w:rPr>
          <w:noProof/>
          <w:color w:val="auto"/>
        </w:rPr>
        <w:t>4</w:t>
      </w:r>
      <w:r w:rsidRPr="00F64639">
        <w:rPr>
          <w:color w:val="auto"/>
        </w:rPr>
        <w:fldChar w:fldCharType="end"/>
      </w:r>
      <w:r w:rsidR="00EB6C9F" w:rsidRPr="00F64639">
        <w:rPr>
          <w:color w:val="auto"/>
        </w:rPr>
        <w:t>. ábra: A jogcímben támogatást nyert projektek területi megoszlása</w:t>
      </w:r>
    </w:p>
    <w:p w:rsidR="00BA3419" w:rsidRPr="00F64639" w:rsidRDefault="00BA3419" w:rsidP="00E60698">
      <w:pPr>
        <w:pStyle w:val="HUNHeading3"/>
        <w:ind w:hanging="1224"/>
      </w:pPr>
      <w:bookmarkStart w:id="21" w:name="_Toc280786855"/>
      <w:r w:rsidRPr="00F64639">
        <w:t>Termelői csoportok (142. intézkedés)</w:t>
      </w:r>
      <w:bookmarkEnd w:id="21"/>
    </w:p>
    <w:p w:rsidR="00C24E0A" w:rsidRPr="00F64639" w:rsidRDefault="00C24E0A" w:rsidP="00C24E0A">
      <w:pPr>
        <w:pStyle w:val="HUNNormal"/>
        <w:tabs>
          <w:tab w:val="left" w:pos="709"/>
        </w:tabs>
      </w:pPr>
      <w:r w:rsidRPr="00F64639">
        <w:t xml:space="preserve">A Termelői csoportok létrehozása, működése jogcím </w:t>
      </w:r>
      <w:r w:rsidRPr="00F64639">
        <w:rPr>
          <w:b/>
        </w:rPr>
        <w:t>célja</w:t>
      </w:r>
      <w:r w:rsidRPr="00F64639">
        <w:t xml:space="preserve"> a</w:t>
      </w:r>
      <w:r w:rsidRPr="00F64639">
        <w:rPr>
          <w:b/>
        </w:rPr>
        <w:t xml:space="preserve"> </w:t>
      </w:r>
      <w:r w:rsidRPr="00F64639">
        <w:t>mezőgazdasági termelők termékeinek biztos piacra juttatása a termelői csoportok létrehozatalának, működtetésének és növekedésének támogatásával.</w:t>
      </w:r>
    </w:p>
    <w:p w:rsidR="00C24E0A" w:rsidRPr="00F64639" w:rsidRDefault="00C24E0A" w:rsidP="00C24E0A">
      <w:pPr>
        <w:pStyle w:val="HUNNormal"/>
        <w:tabs>
          <w:tab w:val="left" w:pos="709"/>
        </w:tabs>
      </w:pPr>
      <w:r w:rsidRPr="00F64639">
        <w:t xml:space="preserve">A következő táblázat szemlélteti a jogcím főbb </w:t>
      </w:r>
      <w:proofErr w:type="gramStart"/>
      <w:r w:rsidRPr="00F64639">
        <w:t>adatait</w:t>
      </w:r>
      <w:r w:rsidRPr="00F64639">
        <w:rPr>
          <w:rStyle w:val="FootnoteReference"/>
        </w:rPr>
        <w:footnoteReference w:id="96"/>
      </w:r>
      <w:r w:rsidRPr="00F64639">
        <w:t>.</w:t>
      </w:r>
      <w:proofErr w:type="gramEnd"/>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211"/>
        <w:gridCol w:w="4168"/>
      </w:tblGrid>
      <w:tr w:rsidR="00C24E0A" w:rsidRPr="00F64639" w:rsidTr="000B0E4C">
        <w:trPr>
          <w:tblHeader/>
        </w:trPr>
        <w:tc>
          <w:tcPr>
            <w:tcW w:w="2778" w:type="pct"/>
            <w:tcBorders>
              <w:top w:val="single" w:sz="8" w:space="0" w:color="FFFFFF"/>
              <w:left w:val="single" w:sz="8" w:space="0" w:color="FFFFFF"/>
              <w:bottom w:val="single" w:sz="24" w:space="0" w:color="FFFFFF"/>
              <w:right w:val="single" w:sz="8"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Jellemző</w:t>
            </w:r>
          </w:p>
        </w:tc>
        <w:tc>
          <w:tcPr>
            <w:tcW w:w="2222" w:type="pct"/>
            <w:tcBorders>
              <w:top w:val="single" w:sz="8" w:space="0" w:color="FFFFFF"/>
              <w:left w:val="single" w:sz="8" w:space="0" w:color="FFFFFF"/>
              <w:bottom w:val="single" w:sz="24" w:space="0" w:color="FFFFFF"/>
              <w:right w:val="single" w:sz="8" w:space="0" w:color="FFFFFF"/>
            </w:tcBorders>
            <w:shd w:val="clear" w:color="auto" w:fill="C0504D"/>
          </w:tcPr>
          <w:p w:rsidR="00C24E0A" w:rsidRPr="00F64639" w:rsidRDefault="00C24E0A" w:rsidP="000B0E4C">
            <w:pPr>
              <w:jc w:val="center"/>
              <w:rPr>
                <w:b/>
                <w:bCs/>
                <w:iCs/>
                <w:color w:val="FFFFFF"/>
                <w:szCs w:val="22"/>
              </w:rPr>
            </w:pPr>
            <w:r w:rsidRPr="00F64639">
              <w:rPr>
                <w:b/>
                <w:bCs/>
                <w:iCs/>
                <w:color w:val="FFFFFF"/>
                <w:szCs w:val="22"/>
              </w:rPr>
              <w:t>Termelői csoportok</w:t>
            </w:r>
          </w:p>
        </w:tc>
      </w:tr>
      <w:tr w:rsidR="00C24E0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Indikatív keret</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C24E0A" w:rsidRPr="00F64639" w:rsidRDefault="00C24E0A" w:rsidP="000B0E4C">
            <w:pPr>
              <w:jc w:val="center"/>
              <w:rPr>
                <w:rFonts w:cs="Arial"/>
                <w:sz w:val="18"/>
                <w:szCs w:val="18"/>
              </w:rPr>
            </w:pPr>
            <w:r w:rsidRPr="00F64639">
              <w:rPr>
                <w:iCs/>
                <w:szCs w:val="22"/>
              </w:rPr>
              <w:t xml:space="preserve">36 042 531 </w:t>
            </w:r>
            <w:r w:rsidR="0022006B" w:rsidRPr="00F64639">
              <w:rPr>
                <w:iCs/>
                <w:szCs w:val="22"/>
              </w:rPr>
              <w:t>EUR</w:t>
            </w:r>
          </w:p>
        </w:tc>
      </w:tr>
      <w:tr w:rsidR="00C24E0A" w:rsidRPr="00F64639" w:rsidTr="000B0E4C">
        <w:tc>
          <w:tcPr>
            <w:tcW w:w="2778" w:type="pct"/>
            <w:tcBorders>
              <w:left w:val="single" w:sz="8" w:space="0" w:color="FFFFFF"/>
              <w:bottom w:val="nil"/>
              <w:right w:val="single" w:sz="24"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Kedvezményezettek száma (</w:t>
            </w:r>
            <w:r w:rsidRPr="00F64639">
              <w:rPr>
                <w:b/>
                <w:bCs/>
                <w:i/>
                <w:iCs/>
                <w:color w:val="FFFFFF"/>
                <w:szCs w:val="22"/>
              </w:rPr>
              <w:t>regisztrációs szám alapján</w:t>
            </w:r>
            <w:r w:rsidRPr="00F64639">
              <w:rPr>
                <w:b/>
                <w:bCs/>
                <w:iCs/>
                <w:color w:val="FFFFFF"/>
                <w:szCs w:val="22"/>
              </w:rPr>
              <w:t>)</w:t>
            </w:r>
          </w:p>
        </w:tc>
        <w:tc>
          <w:tcPr>
            <w:tcW w:w="2222" w:type="pct"/>
            <w:shd w:val="clear" w:color="auto" w:fill="EFD3D2"/>
          </w:tcPr>
          <w:p w:rsidR="00C24E0A" w:rsidRPr="00F64639" w:rsidRDefault="00C24E0A" w:rsidP="000B0E4C">
            <w:pPr>
              <w:jc w:val="center"/>
              <w:rPr>
                <w:iCs/>
                <w:szCs w:val="22"/>
              </w:rPr>
            </w:pPr>
            <w:r w:rsidRPr="00F64639">
              <w:rPr>
                <w:iCs/>
                <w:szCs w:val="22"/>
              </w:rPr>
              <w:t>59 db</w:t>
            </w:r>
          </w:p>
        </w:tc>
      </w:tr>
      <w:tr w:rsidR="00C24E0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Jóváhagyott támogatási kérelmek száma</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C24E0A" w:rsidRPr="00F64639" w:rsidRDefault="00C24E0A" w:rsidP="000B0E4C">
            <w:pPr>
              <w:jc w:val="center"/>
              <w:rPr>
                <w:iCs/>
                <w:szCs w:val="22"/>
              </w:rPr>
            </w:pPr>
            <w:r w:rsidRPr="00F64639">
              <w:rPr>
                <w:iCs/>
                <w:szCs w:val="22"/>
              </w:rPr>
              <w:t>59 db</w:t>
            </w:r>
          </w:p>
        </w:tc>
      </w:tr>
      <w:tr w:rsidR="00C24E0A" w:rsidRPr="00F64639" w:rsidTr="000B0E4C">
        <w:tc>
          <w:tcPr>
            <w:tcW w:w="2778" w:type="pct"/>
            <w:tcBorders>
              <w:left w:val="single" w:sz="8" w:space="0" w:color="FFFFFF"/>
              <w:bottom w:val="nil"/>
              <w:right w:val="single" w:sz="24"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Jóváhagyott kifizetési kérelmek száma</w:t>
            </w:r>
          </w:p>
        </w:tc>
        <w:tc>
          <w:tcPr>
            <w:tcW w:w="2222" w:type="pct"/>
            <w:shd w:val="clear" w:color="auto" w:fill="EFD3D2"/>
          </w:tcPr>
          <w:p w:rsidR="00C24E0A" w:rsidRPr="00F64639" w:rsidRDefault="00C24E0A" w:rsidP="000B0E4C">
            <w:pPr>
              <w:jc w:val="center"/>
              <w:rPr>
                <w:iCs/>
                <w:szCs w:val="22"/>
              </w:rPr>
            </w:pPr>
            <w:r w:rsidRPr="00F64639">
              <w:rPr>
                <w:iCs/>
                <w:szCs w:val="22"/>
              </w:rPr>
              <w:t>24 db</w:t>
            </w:r>
          </w:p>
        </w:tc>
      </w:tr>
      <w:tr w:rsidR="00C24E0A" w:rsidRPr="00F64639" w:rsidTr="000B0E4C">
        <w:tc>
          <w:tcPr>
            <w:tcW w:w="2778" w:type="pct"/>
            <w:tcBorders>
              <w:top w:val="single" w:sz="8" w:space="0" w:color="FFFFFF"/>
              <w:left w:val="single" w:sz="8" w:space="0" w:color="FFFFFF"/>
              <w:bottom w:val="nil"/>
              <w:right w:val="single" w:sz="24"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Kötelezettségvállalás (2010.06.30-ig)</w:t>
            </w:r>
          </w:p>
        </w:tc>
        <w:tc>
          <w:tcPr>
            <w:tcW w:w="2222" w:type="pct"/>
            <w:tcBorders>
              <w:top w:val="single" w:sz="8" w:space="0" w:color="FFFFFF"/>
              <w:left w:val="single" w:sz="8" w:space="0" w:color="FFFFFF"/>
              <w:bottom w:val="single" w:sz="8" w:space="0" w:color="FFFFFF"/>
              <w:right w:val="single" w:sz="8" w:space="0" w:color="FFFFFF"/>
            </w:tcBorders>
            <w:shd w:val="clear" w:color="auto" w:fill="DFA7A6"/>
          </w:tcPr>
          <w:p w:rsidR="00C24E0A" w:rsidRPr="00F64639" w:rsidRDefault="00C24E0A" w:rsidP="000B0E4C">
            <w:pPr>
              <w:jc w:val="center"/>
              <w:rPr>
                <w:iCs/>
                <w:szCs w:val="22"/>
              </w:rPr>
            </w:pPr>
            <w:r w:rsidRPr="00F64639">
              <w:rPr>
                <w:iCs/>
                <w:szCs w:val="22"/>
              </w:rPr>
              <w:t xml:space="preserve">1 740 000 </w:t>
            </w:r>
            <w:proofErr w:type="spellStart"/>
            <w:r w:rsidRPr="00F64639">
              <w:rPr>
                <w:iCs/>
                <w:szCs w:val="22"/>
              </w:rPr>
              <w:t>000</w:t>
            </w:r>
            <w:proofErr w:type="spellEnd"/>
            <w:r w:rsidRPr="00F64639">
              <w:rPr>
                <w:iCs/>
                <w:szCs w:val="22"/>
              </w:rPr>
              <w:t xml:space="preserve"> Ft </w:t>
            </w:r>
            <w:r w:rsidRPr="00F64639">
              <w:rPr>
                <w:rStyle w:val="FootnoteReference"/>
                <w:iCs/>
                <w:szCs w:val="22"/>
              </w:rPr>
              <w:footnoteReference w:id="97"/>
            </w:r>
          </w:p>
        </w:tc>
      </w:tr>
      <w:tr w:rsidR="00C24E0A" w:rsidRPr="00F64639" w:rsidTr="000B0E4C">
        <w:tc>
          <w:tcPr>
            <w:tcW w:w="2778" w:type="pct"/>
            <w:tcBorders>
              <w:left w:val="single" w:sz="8" w:space="0" w:color="FFFFFF"/>
              <w:right w:val="single" w:sz="24" w:space="0" w:color="FFFFFF"/>
            </w:tcBorders>
            <w:shd w:val="clear" w:color="auto" w:fill="C0504D"/>
          </w:tcPr>
          <w:p w:rsidR="00C24E0A" w:rsidRPr="00F64639" w:rsidRDefault="00C24E0A" w:rsidP="000B0E4C">
            <w:pPr>
              <w:jc w:val="both"/>
              <w:rPr>
                <w:b/>
                <w:bCs/>
                <w:iCs/>
                <w:color w:val="FFFFFF"/>
                <w:szCs w:val="22"/>
              </w:rPr>
            </w:pPr>
            <w:r w:rsidRPr="00F64639">
              <w:rPr>
                <w:b/>
                <w:bCs/>
                <w:iCs/>
                <w:color w:val="FFFFFF"/>
                <w:szCs w:val="22"/>
              </w:rPr>
              <w:t>Halmozott kifizetés (2010.06.30-ig)</w:t>
            </w:r>
          </w:p>
        </w:tc>
        <w:tc>
          <w:tcPr>
            <w:tcW w:w="2222" w:type="pct"/>
            <w:shd w:val="clear" w:color="auto" w:fill="EFD3D2"/>
          </w:tcPr>
          <w:p w:rsidR="00C24E0A" w:rsidRPr="00F64639" w:rsidRDefault="00C24E0A" w:rsidP="000B0E4C">
            <w:pPr>
              <w:jc w:val="center"/>
              <w:rPr>
                <w:iCs/>
                <w:szCs w:val="22"/>
              </w:rPr>
            </w:pPr>
            <w:r w:rsidRPr="00F64639">
              <w:rPr>
                <w:iCs/>
                <w:szCs w:val="22"/>
              </w:rPr>
              <w:t xml:space="preserve">12 303 993 </w:t>
            </w:r>
            <w:r w:rsidR="0022006B" w:rsidRPr="00F64639">
              <w:rPr>
                <w:iCs/>
                <w:szCs w:val="22"/>
              </w:rPr>
              <w:t>EUR</w:t>
            </w:r>
            <w:r w:rsidRPr="00F64639">
              <w:rPr>
                <w:iCs/>
                <w:szCs w:val="22"/>
              </w:rPr>
              <w:t xml:space="preserve"> </w:t>
            </w:r>
            <w:r w:rsidRPr="00F64639">
              <w:rPr>
                <w:rStyle w:val="FootnoteReference"/>
                <w:iCs/>
                <w:szCs w:val="22"/>
              </w:rPr>
              <w:footnoteReference w:id="98"/>
            </w:r>
          </w:p>
        </w:tc>
      </w:tr>
    </w:tbl>
    <w:p w:rsidR="00C24E0A" w:rsidRPr="00F64639" w:rsidRDefault="00075A29" w:rsidP="00AB435B">
      <w:pPr>
        <w:pStyle w:val="Caption"/>
        <w:spacing w:before="60" w:after="120" w:line="280" w:lineRule="atLeast"/>
        <w:jc w:val="center"/>
        <w:rPr>
          <w:color w:val="auto"/>
        </w:rPr>
      </w:pPr>
      <w:r w:rsidRPr="00F64639">
        <w:rPr>
          <w:color w:val="auto"/>
        </w:rPr>
        <w:fldChar w:fldCharType="begin"/>
      </w:r>
      <w:r w:rsidR="00AB435B" w:rsidRPr="00F64639">
        <w:rPr>
          <w:color w:val="auto"/>
        </w:rPr>
        <w:instrText xml:space="preserve"> SEQ táblázat \* ARABIC </w:instrText>
      </w:r>
      <w:r w:rsidRPr="00F64639">
        <w:rPr>
          <w:color w:val="auto"/>
        </w:rPr>
        <w:fldChar w:fldCharType="separate"/>
      </w:r>
      <w:r w:rsidR="00E30745" w:rsidRPr="00F64639">
        <w:rPr>
          <w:noProof/>
          <w:color w:val="auto"/>
        </w:rPr>
        <w:t>38</w:t>
      </w:r>
      <w:r w:rsidRPr="00F64639">
        <w:rPr>
          <w:color w:val="auto"/>
        </w:rPr>
        <w:fldChar w:fldCharType="end"/>
      </w:r>
      <w:r w:rsidR="00AB435B" w:rsidRPr="00F64639">
        <w:rPr>
          <w:color w:val="auto"/>
        </w:rPr>
        <w:t>. táblázat: A jogcím általános jellemzői</w:t>
      </w:r>
    </w:p>
    <w:p w:rsidR="00C24E0A" w:rsidRPr="00F64639" w:rsidRDefault="00463B25" w:rsidP="00C24E0A">
      <w:pPr>
        <w:pStyle w:val="HUNNormal"/>
        <w:tabs>
          <w:tab w:val="left" w:pos="709"/>
        </w:tabs>
      </w:pPr>
      <w:r w:rsidRPr="00F64639">
        <w:lastRenderedPageBreak/>
        <w:t xml:space="preserve">A jogcím </w:t>
      </w:r>
      <w:r w:rsidR="00C24E0A" w:rsidRPr="00F64639">
        <w:t>indoklás</w:t>
      </w:r>
      <w:r w:rsidRPr="00F64639">
        <w:t xml:space="preserve">a alapján </w:t>
      </w:r>
      <w:r w:rsidR="00C24E0A" w:rsidRPr="00F64639">
        <w:t xml:space="preserve">a gazdálkodók </w:t>
      </w:r>
      <w:r w:rsidR="00C24E0A" w:rsidRPr="00F64639">
        <w:rPr>
          <w:b/>
        </w:rPr>
        <w:t>piaci szervezettsége</w:t>
      </w:r>
      <w:r w:rsidR="00C24E0A" w:rsidRPr="00F64639">
        <w:t xml:space="preserve"> az elmúlt évek szövetkezéseket ösztönző támogatásai ellenére még </w:t>
      </w:r>
      <w:r w:rsidR="00C24E0A" w:rsidRPr="00F64639">
        <w:rPr>
          <w:b/>
        </w:rPr>
        <w:t>alacsony</w:t>
      </w:r>
      <w:r w:rsidR="00C24E0A" w:rsidRPr="00F64639">
        <w:t>, kevés a közös beszerzésre, értékesítésre, tárolásra, esetenként feldo</w:t>
      </w:r>
      <w:r w:rsidR="00C24E0A" w:rsidRPr="00F64639">
        <w:t>l</w:t>
      </w:r>
      <w:r w:rsidR="00C24E0A" w:rsidRPr="00F64639">
        <w:t>gozásra alakult szerveződés. A termelők és erdőgazdálkodók közötti szerveződések, a termelői csoportok támogatása azért is indokolt, mert EU tagságunkkal a hazai termelők az egységes piacon olyan régi tago</w:t>
      </w:r>
      <w:r w:rsidR="00C24E0A" w:rsidRPr="00F64639">
        <w:t>r</w:t>
      </w:r>
      <w:r w:rsidR="00C24E0A" w:rsidRPr="00F64639">
        <w:t>szágok termelőivel kényszerülnek versenyezni, melyek egy több évtizedes fejlődési folyamat eredményeként általában jobban szervezettek. Az intézkedés célja az, hogy segítse mintegy 100 új termelői csoport létreh</w:t>
      </w:r>
      <w:r w:rsidR="00C24E0A" w:rsidRPr="00F64639">
        <w:t>o</w:t>
      </w:r>
      <w:r w:rsidR="00C24E0A" w:rsidRPr="00F64639">
        <w:t>zását az országban. A termelői csoportokkal szemben alapvető elvárás, hogy tagjaik termelését a piaci ig</w:t>
      </w:r>
      <w:r w:rsidR="00C24E0A" w:rsidRPr="00F64639">
        <w:t>é</w:t>
      </w:r>
      <w:r w:rsidR="00C24E0A" w:rsidRPr="00F64639">
        <w:t>nyekhez igazítsák, közösen juttassák áruikat a piacra, kiszolgálják a nagy tételben vásárlókat, mindezek érdekében közös szabályokat alkossanak és alkalmazzanak. Az állami elismerés érdekében ehhez a tám</w:t>
      </w:r>
      <w:r w:rsidR="00C24E0A" w:rsidRPr="00F64639">
        <w:t>o</w:t>
      </w:r>
      <w:r w:rsidR="00C24E0A" w:rsidRPr="00F64639">
        <w:t>gatási ciklus időtartamára működési tervet kell készíteni, ami az elismerési feltételek folyamatos fenntart</w:t>
      </w:r>
      <w:r w:rsidR="00C24E0A" w:rsidRPr="00F64639">
        <w:t>á</w:t>
      </w:r>
      <w:r w:rsidR="00C24E0A" w:rsidRPr="00F64639">
        <w:t>sának vizsgálata mellett a</w:t>
      </w:r>
      <w:r w:rsidR="00FE3DF3" w:rsidRPr="00F64639">
        <w:t xml:space="preserve">z ellenőrzés alapjául szolgál. </w:t>
      </w:r>
      <w:r w:rsidR="00C24E0A" w:rsidRPr="00F64639">
        <w:t>Az ÚMVP szerint a termelői csoportok előnyben r</w:t>
      </w:r>
      <w:r w:rsidR="00C24E0A" w:rsidRPr="00F64639">
        <w:t>é</w:t>
      </w:r>
      <w:r w:rsidR="00C24E0A" w:rsidRPr="00F64639">
        <w:t>szesítendő ágazatai: a borászati, a tej- és hústermelő ágazatok.</w:t>
      </w:r>
    </w:p>
    <w:p w:rsidR="00C24E0A" w:rsidRPr="00F64639" w:rsidRDefault="00C24E0A" w:rsidP="00C24E0A">
      <w:pPr>
        <w:pStyle w:val="HUNNormal"/>
        <w:tabs>
          <w:tab w:val="left" w:pos="709"/>
        </w:tabs>
      </w:pPr>
      <w:r w:rsidRPr="00F64639">
        <w:t xml:space="preserve">Az intézkedés jelentős előzményekkel rendelkezik, a termelői csoportok támogatására szolgáló intézkedés nemzeti alaprendelkezései a SAPARD program előkészítése során kerültek kialakításra (85/2002 (IX.18.) FVM rendelet). Az intézkedés ugyanakkor a </w:t>
      </w:r>
      <w:proofErr w:type="spellStart"/>
      <w:r w:rsidRPr="00F64639">
        <w:t>SAPARD-ban</w:t>
      </w:r>
      <w:proofErr w:type="spellEnd"/>
      <w:r w:rsidRPr="00F64639">
        <w:t xml:space="preserve"> nem került meghirdetésre, így csak a 2004-2007 </w:t>
      </w:r>
      <w:r w:rsidR="00FE3DF3" w:rsidRPr="00F64639">
        <w:t xml:space="preserve">évek </w:t>
      </w:r>
      <w:r w:rsidRPr="00F64639">
        <w:t xml:space="preserve">közötti Nemzeti Vidékfejlesztési </w:t>
      </w:r>
      <w:proofErr w:type="gramStart"/>
      <w:r w:rsidRPr="00F64639">
        <w:t>Terv vonatkozó</w:t>
      </w:r>
      <w:proofErr w:type="gramEnd"/>
      <w:r w:rsidRPr="00F64639">
        <w:t xml:space="preserve"> fejezete (Termelői csoportok felállításának és adm</w:t>
      </w:r>
      <w:r w:rsidRPr="00F64639">
        <w:t>i</w:t>
      </w:r>
      <w:r w:rsidRPr="00F64639">
        <w:t xml:space="preserve">nisztratív működésének támogatása) nyitott lehetőséget az EU-s források elérésére. Az intézkedés az NVT ex-post értékelése szerint az egyik legsikeresebb intézkedésnek bizonyult. Ebből is fakadóan a 2004- 2005 során létrejött, és </w:t>
      </w:r>
      <w:proofErr w:type="spellStart"/>
      <w:r w:rsidRPr="00F64639">
        <w:t>NVT-ben</w:t>
      </w:r>
      <w:proofErr w:type="spellEnd"/>
      <w:r w:rsidRPr="00F64639">
        <w:t xml:space="preserve"> támogatott termelői csoportok 5 éves támogatási ciklusa átnyúlik az ÚMVP id</w:t>
      </w:r>
      <w:r w:rsidRPr="00F64639">
        <w:t>ő</w:t>
      </w:r>
      <w:r w:rsidR="00FE3DF3" w:rsidRPr="00F64639">
        <w:t>szakára, így 2010.06.30-ig</w:t>
      </w:r>
      <w:r w:rsidRPr="00F64639">
        <w:t xml:space="preserve"> </w:t>
      </w:r>
      <w:r w:rsidR="00FE3DF3" w:rsidRPr="00F64639">
        <w:t>14,45</w:t>
      </w:r>
      <w:r w:rsidRPr="00F64639">
        <w:t xml:space="preserve"> millió </w:t>
      </w:r>
      <w:r w:rsidR="0022006B" w:rsidRPr="00F64639">
        <w:t>EUR</w:t>
      </w:r>
      <w:r w:rsidRPr="00F64639">
        <w:t xml:space="preserve"> kifizetés az </w:t>
      </w:r>
      <w:proofErr w:type="spellStart"/>
      <w:r w:rsidRPr="00F64639">
        <w:t>NVT-s</w:t>
      </w:r>
      <w:proofErr w:type="spellEnd"/>
      <w:r w:rsidRPr="00F64639">
        <w:t xml:space="preserve"> kötelez</w:t>
      </w:r>
      <w:r w:rsidR="00FE3DF3" w:rsidRPr="00F64639">
        <w:t>ettségvállalás terhére történt.</w:t>
      </w:r>
    </w:p>
    <w:p w:rsidR="00C24E0A" w:rsidRPr="00F64639" w:rsidRDefault="00C24E0A" w:rsidP="00C24E0A">
      <w:pPr>
        <w:pStyle w:val="HUNNormal"/>
        <w:tabs>
          <w:tab w:val="left" w:pos="709"/>
        </w:tabs>
        <w:rPr>
          <w:bCs/>
        </w:rPr>
      </w:pPr>
      <w:r w:rsidRPr="00F64639">
        <w:rPr>
          <w:bCs/>
        </w:rPr>
        <w:t>Az ÚMVP- n belül a jogcím megnyitását az</w:t>
      </w:r>
      <w:r w:rsidRPr="00F64639">
        <w:rPr>
          <w:b/>
          <w:bCs/>
        </w:rPr>
        <w:t xml:space="preserve"> </w:t>
      </w:r>
      <w:r w:rsidRPr="00F64639">
        <w:rPr>
          <w:bCs/>
        </w:rPr>
        <w:t>59/2007. (VII. 10.) FVM rendelet tette lehetővé. A támogatás sp</w:t>
      </w:r>
      <w:r w:rsidRPr="00F64639">
        <w:rPr>
          <w:bCs/>
        </w:rPr>
        <w:t>e</w:t>
      </w:r>
      <w:r w:rsidRPr="00F64639">
        <w:rPr>
          <w:bCs/>
        </w:rPr>
        <w:t>cifikumát jelenti ugyanakkor, hogy a termelői csoportok támogatásának alapfeltétele a termelői csoport nemzeti szabályozás szerinti állami elismerése, amelyet az FVM az NVT meghirdetésekor a 81/2004. (V. 4.) FVM rendelettel szabályozott,</w:t>
      </w:r>
      <w:r w:rsidRPr="00F64639">
        <w:rPr>
          <w:b/>
          <w:bCs/>
        </w:rPr>
        <w:t xml:space="preserve"> </w:t>
      </w:r>
      <w:r w:rsidRPr="00F64639">
        <w:rPr>
          <w:bCs/>
        </w:rPr>
        <w:t xml:space="preserve">és amelyet </w:t>
      </w:r>
      <w:proofErr w:type="gramStart"/>
      <w:r w:rsidRPr="00F64639">
        <w:rPr>
          <w:bCs/>
        </w:rPr>
        <w:t>azóta</w:t>
      </w:r>
      <w:proofErr w:type="gramEnd"/>
      <w:r w:rsidRPr="00F64639">
        <w:rPr>
          <w:bCs/>
        </w:rPr>
        <w:t xml:space="preserve"> három alkalommal módosított: főleg az árbevételi minim</w:t>
      </w:r>
      <w:r w:rsidRPr="00F64639">
        <w:rPr>
          <w:bCs/>
        </w:rPr>
        <w:t>u</w:t>
      </w:r>
      <w:r w:rsidRPr="00F64639">
        <w:rPr>
          <w:bCs/>
        </w:rPr>
        <w:t>mok korrekciója, a tag kilépésének feltételei, a vezető tisztségviselők összeférhetetlenségi szabályai, az e</w:t>
      </w:r>
      <w:r w:rsidRPr="00F64639">
        <w:rPr>
          <w:bCs/>
        </w:rPr>
        <w:t>l</w:t>
      </w:r>
      <w:r w:rsidRPr="00F64639">
        <w:rPr>
          <w:bCs/>
        </w:rPr>
        <w:t>ismerési pályázat adminisztrációs kondíciói, valamint új minősítési kategória bevezetésének tekintetében. A rendelet egyik módosítására azért került sor, mivel a 2009. évi EU audit megállapításai kifogásolták az ig</w:t>
      </w:r>
      <w:r w:rsidRPr="00F64639">
        <w:rPr>
          <w:bCs/>
        </w:rPr>
        <w:t>é</w:t>
      </w:r>
      <w:r w:rsidRPr="00F64639">
        <w:rPr>
          <w:bCs/>
        </w:rPr>
        <w:t>nyelt és megállapított támogatási összegek közötti különbség szankcionálási lépéseit. Az, hogy az állami elismerés előfeltétele a támogatásra történő pályázásnak, jelentős előnyt jelent az intézkedés lebonyolítás</w:t>
      </w:r>
      <w:r w:rsidRPr="00F64639">
        <w:rPr>
          <w:bCs/>
        </w:rPr>
        <w:t>á</w:t>
      </w:r>
      <w:r w:rsidRPr="00F64639">
        <w:rPr>
          <w:bCs/>
        </w:rPr>
        <w:t>ban, a támogatási és kifizetési kérelmek elbírálásában.</w:t>
      </w:r>
      <w:r w:rsidR="003E0B6A" w:rsidRPr="00F64639">
        <w:rPr>
          <w:bCs/>
        </w:rPr>
        <w:t xml:space="preserve"> Mindazonáltal az átfutási időket vizsgálva megáll</w:t>
      </w:r>
      <w:r w:rsidR="003E0B6A" w:rsidRPr="00F64639">
        <w:rPr>
          <w:bCs/>
        </w:rPr>
        <w:t>a</w:t>
      </w:r>
      <w:r w:rsidR="003E0B6A" w:rsidRPr="00F64639">
        <w:rPr>
          <w:bCs/>
        </w:rPr>
        <w:t>pítható, hogy sajnálatos módon ez a tény nem fejt ki jelentős hatást: a támogatási kérelmek elbírálásának átlagos átfutási ideje 145 naptári nap, a kifizetési kérelmeké pedig 160 naptári nap.</w:t>
      </w:r>
    </w:p>
    <w:p w:rsidR="00C24E0A" w:rsidRPr="00F64639" w:rsidRDefault="00C24E0A" w:rsidP="00C24E0A">
      <w:pPr>
        <w:pStyle w:val="HUNNormal"/>
        <w:tabs>
          <w:tab w:val="left" w:pos="709"/>
        </w:tabs>
        <w:rPr>
          <w:bCs/>
        </w:rPr>
      </w:pPr>
      <w:r w:rsidRPr="00F64639">
        <w:rPr>
          <w:bCs/>
        </w:rPr>
        <w:t>Az intézkedés keretében a támogatási kérelmeket évente egy alkalommal (szeptember folyamán), a támog</w:t>
      </w:r>
      <w:r w:rsidRPr="00F64639">
        <w:rPr>
          <w:bCs/>
        </w:rPr>
        <w:t>a</w:t>
      </w:r>
      <w:r w:rsidRPr="00F64639">
        <w:rPr>
          <w:bCs/>
        </w:rPr>
        <w:t>tási határozatok alapján a kifizetési kérelmeket szintén évente egy alkalommal (júniusban) lehet benyújtani.</w:t>
      </w:r>
    </w:p>
    <w:p w:rsidR="005E5031" w:rsidRPr="00F64639" w:rsidRDefault="00374E45" w:rsidP="005E5031">
      <w:pPr>
        <w:pStyle w:val="HUNNormal"/>
        <w:tabs>
          <w:tab w:val="left" w:pos="709"/>
        </w:tabs>
        <w:jc w:val="center"/>
      </w:pPr>
      <w:r w:rsidRPr="00F64639">
        <w:rPr>
          <w:noProof/>
        </w:rPr>
        <w:lastRenderedPageBreak/>
        <w:drawing>
          <wp:inline distT="0" distB="0" distL="0" distR="0">
            <wp:extent cx="4026570" cy="2892842"/>
            <wp:effectExtent l="0" t="0" r="145380" b="98008"/>
            <wp:docPr id="1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026570" cy="2892842"/>
                    </a:xfrm>
                    <a:prstGeom prst="rect">
                      <a:avLst/>
                    </a:prstGeom>
                    <a:noFill/>
                    <a:ln w="9525">
                      <a:noFill/>
                      <a:miter lim="800000"/>
                      <a:headEnd/>
                      <a:tailEnd/>
                    </a:ln>
                    <a:effectLst>
                      <a:outerShdw blurRad="50800" dist="152400" dir="2700000" algn="tl" rotWithShape="0">
                        <a:prstClr val="black">
                          <a:alpha val="40000"/>
                        </a:prstClr>
                      </a:outerShdw>
                    </a:effectLst>
                  </pic:spPr>
                </pic:pic>
              </a:graphicData>
            </a:graphic>
          </wp:inline>
        </w:drawing>
      </w:r>
    </w:p>
    <w:p w:rsidR="005E5031" w:rsidRPr="00F64639" w:rsidRDefault="00075A29" w:rsidP="005E5031">
      <w:pPr>
        <w:pStyle w:val="Caption"/>
        <w:spacing w:before="60" w:after="120" w:line="280" w:lineRule="atLeast"/>
        <w:jc w:val="center"/>
        <w:rPr>
          <w:color w:val="auto"/>
        </w:rPr>
      </w:pPr>
      <w:r w:rsidRPr="00F64639">
        <w:rPr>
          <w:color w:val="auto"/>
        </w:rPr>
        <w:fldChar w:fldCharType="begin"/>
      </w:r>
      <w:r w:rsidR="005E5031" w:rsidRPr="00F64639">
        <w:rPr>
          <w:color w:val="auto"/>
        </w:rPr>
        <w:instrText xml:space="preserve"> SEQ ábra \* ARABIC </w:instrText>
      </w:r>
      <w:r w:rsidRPr="00F64639">
        <w:rPr>
          <w:color w:val="auto"/>
        </w:rPr>
        <w:fldChar w:fldCharType="separate"/>
      </w:r>
      <w:r w:rsidR="00E30745" w:rsidRPr="00F64639">
        <w:rPr>
          <w:noProof/>
          <w:color w:val="auto"/>
        </w:rPr>
        <w:t>5</w:t>
      </w:r>
      <w:r w:rsidRPr="00F64639">
        <w:rPr>
          <w:color w:val="auto"/>
        </w:rPr>
        <w:fldChar w:fldCharType="end"/>
      </w:r>
      <w:r w:rsidR="005E5031" w:rsidRPr="00F64639">
        <w:rPr>
          <w:color w:val="auto"/>
        </w:rPr>
        <w:t>. ábra: A termelői csoportok ágazati megoszlása</w:t>
      </w:r>
    </w:p>
    <w:p w:rsidR="005E5031" w:rsidRPr="00F64639" w:rsidRDefault="005E5031" w:rsidP="005E5031">
      <w:pPr>
        <w:pStyle w:val="HUNNormal"/>
        <w:tabs>
          <w:tab w:val="left" w:pos="709"/>
        </w:tabs>
      </w:pPr>
      <w:r w:rsidRPr="00F64639">
        <w:rPr>
          <w:bCs/>
        </w:rPr>
        <w:t>A termelői csoportok kialakulásában jelentős a területi különbség is, amelyet az alábbi ábra érzékeltet:</w:t>
      </w:r>
    </w:p>
    <w:p w:rsidR="005E5031" w:rsidRPr="00F64639" w:rsidRDefault="00374E45" w:rsidP="005E5031">
      <w:pPr>
        <w:pStyle w:val="HUNNormal"/>
        <w:tabs>
          <w:tab w:val="left" w:pos="709"/>
        </w:tabs>
        <w:jc w:val="center"/>
      </w:pPr>
      <w:r w:rsidRPr="00F64639">
        <w:rPr>
          <w:noProof/>
        </w:rPr>
        <w:drawing>
          <wp:inline distT="0" distB="0" distL="0" distR="0">
            <wp:extent cx="5822950" cy="3183255"/>
            <wp:effectExtent l="19050" t="0" r="635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822950" cy="3183255"/>
                    </a:xfrm>
                    <a:prstGeom prst="rect">
                      <a:avLst/>
                    </a:prstGeom>
                    <a:noFill/>
                    <a:ln w="9525">
                      <a:noFill/>
                      <a:miter lim="800000"/>
                      <a:headEnd/>
                      <a:tailEnd/>
                    </a:ln>
                  </pic:spPr>
                </pic:pic>
              </a:graphicData>
            </a:graphic>
          </wp:inline>
        </w:drawing>
      </w:r>
    </w:p>
    <w:p w:rsidR="005E5031" w:rsidRPr="00F64639" w:rsidRDefault="00075A29" w:rsidP="005E5031">
      <w:pPr>
        <w:pStyle w:val="Caption"/>
        <w:spacing w:before="60" w:after="120" w:line="280" w:lineRule="atLeast"/>
        <w:jc w:val="center"/>
        <w:rPr>
          <w:color w:val="auto"/>
        </w:rPr>
      </w:pPr>
      <w:r w:rsidRPr="00F64639">
        <w:rPr>
          <w:color w:val="auto"/>
        </w:rPr>
        <w:fldChar w:fldCharType="begin"/>
      </w:r>
      <w:r w:rsidR="005E5031" w:rsidRPr="00F64639">
        <w:rPr>
          <w:color w:val="auto"/>
        </w:rPr>
        <w:instrText xml:space="preserve"> SEQ ábra \* ARABIC </w:instrText>
      </w:r>
      <w:r w:rsidRPr="00F64639">
        <w:rPr>
          <w:color w:val="auto"/>
        </w:rPr>
        <w:fldChar w:fldCharType="separate"/>
      </w:r>
      <w:r w:rsidR="00E30745" w:rsidRPr="00F64639">
        <w:rPr>
          <w:noProof/>
          <w:color w:val="auto"/>
        </w:rPr>
        <w:t>6</w:t>
      </w:r>
      <w:r w:rsidRPr="00F64639">
        <w:rPr>
          <w:color w:val="auto"/>
        </w:rPr>
        <w:fldChar w:fldCharType="end"/>
      </w:r>
      <w:r w:rsidR="005E5031" w:rsidRPr="00F64639">
        <w:rPr>
          <w:color w:val="auto"/>
        </w:rPr>
        <w:t>. ábra: A termelői csoportok területi megoszlása</w:t>
      </w:r>
    </w:p>
    <w:p w:rsidR="005E5031" w:rsidRPr="00F64639" w:rsidRDefault="005E5031" w:rsidP="005E5031">
      <w:pPr>
        <w:pStyle w:val="HUNNormal"/>
        <w:tabs>
          <w:tab w:val="left" w:pos="709"/>
        </w:tabs>
      </w:pPr>
      <w:r w:rsidRPr="00F64639">
        <w:t>Az intézkedés végrehajtása során ugyanakkor a támogatási kérelmek vonatkozásában nem érvényesült Dél- Dunántúlnak az előzőekben mutatkozó kiemelkedő aránya, hiszen mind a kérelmek számát, mind a támog</w:t>
      </w:r>
      <w:r w:rsidRPr="00F64639">
        <w:t>a</w:t>
      </w:r>
      <w:r w:rsidRPr="00F64639">
        <w:t>tási összegeket tekintve több régió megelőzi. A jóváhagyott támogatási kérelmek megyei megoszlását viz</w:t>
      </w:r>
      <w:r w:rsidRPr="00F64639">
        <w:t>s</w:t>
      </w:r>
      <w:r w:rsidRPr="00F64639">
        <w:t>gálva megállapítható, hogy e legtöbb támogatott kérelem Bács-Kiskun megyéből érkezett (16,95%), míg a legkevesebb Szabolcs-Szatmár-Bereg és Komárom-Esztergom megyéből származik (mindkettő 6,78%-os értékkel). A kérelmek kistérségi megoszlása során mindenképpen megemlítendő, hogy a kérelmek fele (51%) hátrányos helyzetű, LHH vagy komplex LHH kistérségből érkezett (rendre 34%, 2%, 15%).</w:t>
      </w:r>
    </w:p>
    <w:p w:rsidR="005E5031" w:rsidRPr="00F64639" w:rsidRDefault="005E5031" w:rsidP="005E5031">
      <w:pPr>
        <w:pStyle w:val="HUNNormal"/>
        <w:tabs>
          <w:tab w:val="left" w:pos="709"/>
        </w:tabs>
      </w:pPr>
      <w:r w:rsidRPr="00F64639">
        <w:lastRenderedPageBreak/>
        <w:t xml:space="preserve">A támogatási források – az elismerési terv szerint - működésre, beruházásra és forgóeszközként egyaránt felhasználhatók. Az elismerési tervtől való eltérést az éves beszámoló jelentéssel </w:t>
      </w:r>
      <w:proofErr w:type="spellStart"/>
      <w:r w:rsidRPr="00F64639">
        <w:t>egyidőben</w:t>
      </w:r>
      <w:proofErr w:type="spellEnd"/>
      <w:r w:rsidRPr="00F64639">
        <w:t xml:space="preserve"> lehet kezdem</w:t>
      </w:r>
      <w:r w:rsidRPr="00F64639">
        <w:t>é</w:t>
      </w:r>
      <w:r w:rsidRPr="00F64639">
        <w:t>nyezni, azonban az éves beszámoló jelentés a felhasználás szerkezetére vonatkozóan kötelező jelleggel nem kér adatszolgáltatást, így ennek nyomon követése nem teljes körű, a helyszíni ellenőrzésekhez kapcsolódik.</w:t>
      </w:r>
    </w:p>
    <w:p w:rsidR="005E5031" w:rsidRPr="00F64639" w:rsidRDefault="005E5031" w:rsidP="005E5031">
      <w:pPr>
        <w:pStyle w:val="HUNNormal"/>
        <w:tabs>
          <w:tab w:val="left" w:pos="709"/>
        </w:tabs>
      </w:pPr>
      <w:r w:rsidRPr="00F64639">
        <w:t>Az intézkedés tervezhetőségét az állami elismerésből származó többéves előzetes kötelezettségvállalás segíti, de az időarányos végrehajtás ellenére is a jövőbeni folyamatok nehezen jósolhatók. Az elismerés új szabálya (minősített termelői csoport elismerés) a kifutó támogatott csoportok helyett új célcsoportok bel</w:t>
      </w:r>
      <w:r w:rsidRPr="00F64639">
        <w:t>é</w:t>
      </w:r>
      <w:r w:rsidRPr="00F64639">
        <w:t xml:space="preserve">pését eredményezheti, ám ezek koncentráltabb szervezetek lévén a csoportok számát illetően az </w:t>
      </w:r>
      <w:proofErr w:type="spellStart"/>
      <w:r w:rsidRPr="00F64639">
        <w:t>ÚMVP-ben</w:t>
      </w:r>
      <w:proofErr w:type="spellEnd"/>
      <w:r w:rsidRPr="00F64639">
        <w:t xml:space="preserve"> tervezett eredménymutató (termelői csoportok számának növelése 300-ra a jelenlegi 253-ról) teljesülését kérdésessé teszik. Megjegyzendő, hogy az output indikátorokban tervezett ágazati megoszlást illetően mind a tejágazat (terv 15; teljesülés 12), mind a legeltetéses állattartás (terv 18, teljesülés 2) vonatkozásában jelentős az elmaradás. Ezen túlmenően nehezen értelmezhető a termelői csoportok szektorhoz kötődő eli</w:t>
      </w:r>
      <w:r w:rsidRPr="00F64639">
        <w:t>s</w:t>
      </w:r>
      <w:r w:rsidRPr="00F64639">
        <w:t>merésének jelenlegi általános szabályai szerint a vegyes (növénytermesztés és állattenyésztés) ágazatra létrehozandó, a jelen intézkedés keretében támogatható termelői együttműködés.</w:t>
      </w:r>
    </w:p>
    <w:p w:rsidR="005E5031" w:rsidRPr="00F64639" w:rsidRDefault="005E5031" w:rsidP="00C24E0A">
      <w:pPr>
        <w:pStyle w:val="HUNNormal"/>
        <w:tabs>
          <w:tab w:val="left" w:pos="709"/>
        </w:tabs>
        <w:rPr>
          <w:bCs/>
        </w:rPr>
      </w:pPr>
      <w:r w:rsidRPr="00F64639">
        <w:t>Az e-monitoring adatokat vizsgálva</w:t>
      </w:r>
      <w:r w:rsidRPr="00F64639">
        <w:rPr>
          <w:rStyle w:val="FootnoteReference"/>
        </w:rPr>
        <w:footnoteReference w:id="99"/>
      </w:r>
      <w:r w:rsidRPr="00F64639">
        <w:t xml:space="preserve"> megállapítható, hogy a legjellemzőbb termelési ágazat a szántóföldi gabonatermesztés volt (49,5%), ezt követi a baromfi ágazat (18%), majd hasonló arányban az olajos ma</w:t>
      </w:r>
      <w:r w:rsidRPr="00F64639">
        <w:t>g</w:t>
      </w:r>
      <w:r w:rsidRPr="00F64639">
        <w:t>vak, tejtermelés, legeltetéses állattartás (juh), és a sertéstenyésztés (5-5%), valamint a bor-szőlő, egyéb szántóföldi növénytermesztés és dohánytermesztés (2,5-2,5%). Az adatszolgáltatók 5%-a nem adott választ erre a kérdésre.</w:t>
      </w:r>
    </w:p>
    <w:p w:rsidR="00EB6C9F" w:rsidRPr="00F64639" w:rsidRDefault="00EB6C9F" w:rsidP="00711F5E">
      <w:pPr>
        <w:pStyle w:val="HUNNormal"/>
        <w:tabs>
          <w:tab w:val="left" w:pos="709"/>
        </w:tabs>
        <w:rPr>
          <w:b/>
          <w:bCs/>
        </w:rPr>
      </w:pPr>
      <w:r w:rsidRPr="00F64639">
        <w:rPr>
          <w:b/>
          <w:bCs/>
        </w:rPr>
        <w:t>Relevanciaelemzés</w:t>
      </w:r>
    </w:p>
    <w:p w:rsidR="00EB6C9F" w:rsidRPr="00F64639" w:rsidRDefault="00DF2DB0" w:rsidP="00711F5E">
      <w:pPr>
        <w:pStyle w:val="HUNNormal"/>
        <w:tabs>
          <w:tab w:val="left" w:pos="709"/>
        </w:tabs>
        <w:rPr>
          <w:bCs/>
        </w:rPr>
      </w:pPr>
      <w:r w:rsidRPr="00F64639">
        <w:rPr>
          <w:bCs/>
        </w:rPr>
        <w:t xml:space="preserve">Az intézkedés relevánsnak tekinthető, hiszen a gazdasági erő, a szervezettség hiánya az egyik legnagyobb gátja a kisebb vállalkozások fejlesztésének. </w:t>
      </w:r>
    </w:p>
    <w:p w:rsidR="00EB6C9F" w:rsidRPr="00F64639" w:rsidRDefault="00EB6C9F" w:rsidP="00711F5E">
      <w:pPr>
        <w:pStyle w:val="HUNNormal"/>
        <w:tabs>
          <w:tab w:val="left" w:pos="709"/>
        </w:tabs>
        <w:rPr>
          <w:b/>
          <w:bCs/>
        </w:rPr>
      </w:pPr>
      <w:r w:rsidRPr="00F64639">
        <w:rPr>
          <w:b/>
          <w:bCs/>
        </w:rPr>
        <w:t>Hatásvizsgálat</w:t>
      </w:r>
    </w:p>
    <w:p w:rsidR="00EB6C9F" w:rsidRPr="00F64639" w:rsidRDefault="00C24E0A" w:rsidP="00711F5E">
      <w:pPr>
        <w:pStyle w:val="HUNNormal"/>
        <w:tabs>
          <w:tab w:val="left" w:pos="709"/>
        </w:tabs>
        <w:rPr>
          <w:bCs/>
        </w:rPr>
      </w:pPr>
      <w:r w:rsidRPr="00F64639">
        <w:rPr>
          <w:bCs/>
        </w:rPr>
        <w:t xml:space="preserve">Az intézkedés eddigi lépései igazolják a termelői csoportok létszámbeli megerősödését, hiszen a 2006. évi nyilvántartás szerinti 118 (előzetes, illetve végleges) elismerésben részesült szervezethez viszonyítva a 2010-ben 253 elismert termelői csoportot tartott nyilván a minisztérium. A növekmény ugyanakkor </w:t>
      </w:r>
      <w:proofErr w:type="gramStart"/>
      <w:r w:rsidRPr="00F64639">
        <w:rPr>
          <w:bCs/>
        </w:rPr>
        <w:t>több, mint</w:t>
      </w:r>
      <w:proofErr w:type="gramEnd"/>
      <w:r w:rsidRPr="00F64639">
        <w:rPr>
          <w:bCs/>
        </w:rPr>
        <w:t xml:space="preserve"> a fele a gabona és az olajos mag ágazatot képviseli, a borászati ágazatban pedig számszerű csökk</w:t>
      </w:r>
      <w:r w:rsidRPr="00F64639">
        <w:rPr>
          <w:bCs/>
        </w:rPr>
        <w:t>e</w:t>
      </w:r>
      <w:r w:rsidRPr="00F64639">
        <w:rPr>
          <w:bCs/>
        </w:rPr>
        <w:t>nésre került sor, ami arányaiban nem felel meg a programban megfogalmazott ágazati preferenciának</w:t>
      </w:r>
      <w:r w:rsidRPr="00F64639">
        <w:rPr>
          <w:bCs/>
          <w:vertAlign w:val="superscript"/>
        </w:rPr>
        <w:footnoteReference w:id="100"/>
      </w:r>
      <w:r w:rsidRPr="00F64639">
        <w:rPr>
          <w:bCs/>
        </w:rPr>
        <w:t>. Ugyanakkor a baromfi, a sertés és a tej ágazatokban a növekmény viszonylag jelentősnek tekinthető (so</w:t>
      </w:r>
      <w:r w:rsidRPr="00F64639">
        <w:rPr>
          <w:bCs/>
        </w:rPr>
        <w:t>r</w:t>
      </w:r>
      <w:r w:rsidRPr="00F64639">
        <w:rPr>
          <w:bCs/>
        </w:rPr>
        <w:t xml:space="preserve">rendben 12, 6 és 4). </w:t>
      </w:r>
    </w:p>
    <w:p w:rsidR="005E5031" w:rsidRPr="00F64639" w:rsidRDefault="005E5031" w:rsidP="005E5031">
      <w:pPr>
        <w:pStyle w:val="HUNNormal"/>
        <w:tabs>
          <w:tab w:val="left" w:pos="709"/>
        </w:tabs>
      </w:pPr>
      <w:r w:rsidRPr="00F64639">
        <w:t xml:space="preserve">A támogatott </w:t>
      </w:r>
      <w:r w:rsidRPr="00F64639">
        <w:rPr>
          <w:b/>
        </w:rPr>
        <w:t>termelői csoportok nettó árbevételének alakulása időarányos</w:t>
      </w:r>
      <w:r w:rsidRPr="00F64639">
        <w:t xml:space="preserve"> (2008-ban 264 Mrd Ft, célérték 348 Mrd Ft), ami mutatja a mezőgazdasági termelők gazdasági erejének összefogáson keresztül elért növ</w:t>
      </w:r>
      <w:r w:rsidRPr="00F64639">
        <w:t>e</w:t>
      </w:r>
      <w:r w:rsidRPr="00F64639">
        <w:t>kedési lehetőségét. (Ez az adat az agrárgazdaság 2008. évi helyzetéről szóló éves jelentésben foglalt ágazati adat szerint 14,8 %-os részesedést képvisel.) Maga a 2009-ban bevezetett új eljárási rend ennek a fő célk</w:t>
      </w:r>
      <w:r w:rsidRPr="00F64639">
        <w:t>i</w:t>
      </w:r>
      <w:r w:rsidRPr="00F64639">
        <w:t>tűzésnek elérését kívánta tovább erősíteni, ugyanakkor továbbra sem zárja ki olyan érdekeltségek befoly</w:t>
      </w:r>
      <w:r w:rsidRPr="00F64639">
        <w:t>á</w:t>
      </w:r>
      <w:r w:rsidRPr="00F64639">
        <w:t>sát a termelői csoportokra, amelyek mögött nem kifejezetten elsődleges termelők állnak. Ezen erők megh</w:t>
      </w:r>
      <w:r w:rsidRPr="00F64639">
        <w:t>a</w:t>
      </w:r>
      <w:r w:rsidRPr="00F64639">
        <w:t xml:space="preserve">tározó szerepet játszanak az értékesítésben, ami a termelői pozíciók valós mértékének meghatározását </w:t>
      </w:r>
      <w:r w:rsidRPr="00F64639">
        <w:lastRenderedPageBreak/>
        <w:t>nehezíti. A termelői csoportok gazdasági súlyának mérésére szolgáló, naturális adatokra (földterület haszn</w:t>
      </w:r>
      <w:r w:rsidRPr="00F64639">
        <w:t>á</w:t>
      </w:r>
      <w:r w:rsidRPr="00F64639">
        <w:t xml:space="preserve">lat, állatállomány) épülő indikátorok időarányos adatainak feldolgozása folyamatban </w:t>
      </w:r>
      <w:proofErr w:type="gramStart"/>
      <w:r w:rsidRPr="00F64639">
        <w:t>van</w:t>
      </w:r>
      <w:r w:rsidRPr="00F64639">
        <w:rPr>
          <w:rStyle w:val="FootnoteReference"/>
        </w:rPr>
        <w:footnoteReference w:id="101"/>
      </w:r>
      <w:r w:rsidRPr="00F64639">
        <w:t>.</w:t>
      </w:r>
      <w:proofErr w:type="gramEnd"/>
    </w:p>
    <w:p w:rsidR="005E5031" w:rsidRPr="00F64639" w:rsidRDefault="005E5031" w:rsidP="005E5031">
      <w:pPr>
        <w:pStyle w:val="HUNNormal"/>
        <w:tabs>
          <w:tab w:val="left" w:pos="709"/>
        </w:tabs>
      </w:pPr>
      <w:r w:rsidRPr="00F64639">
        <w:t xml:space="preserve">Mind az Irányító Hatóság, mind az MVH illetékeseivel folytatott interjúk azt az álláspontot támasztották alá, hogy az </w:t>
      </w:r>
      <w:r w:rsidRPr="00F64639">
        <w:rPr>
          <w:b/>
        </w:rPr>
        <w:t xml:space="preserve">intézkedés tartalmában és lebonyolításában jelentős eszköz az </w:t>
      </w:r>
      <w:proofErr w:type="spellStart"/>
      <w:r w:rsidRPr="00F64639">
        <w:rPr>
          <w:b/>
        </w:rPr>
        <w:t>ÚMVP-ben</w:t>
      </w:r>
      <w:proofErr w:type="spellEnd"/>
      <w:r w:rsidRPr="00F64639">
        <w:rPr>
          <w:b/>
        </w:rPr>
        <w:t xml:space="preserve"> megfogalmazott célkit</w:t>
      </w:r>
      <w:r w:rsidRPr="00F64639">
        <w:rPr>
          <w:b/>
        </w:rPr>
        <w:t>ű</w:t>
      </w:r>
      <w:r w:rsidRPr="00F64639">
        <w:rPr>
          <w:b/>
        </w:rPr>
        <w:t>zés, a termelők jobb piaci érvényesülésének eléréséhez</w:t>
      </w:r>
      <w:r w:rsidRPr="00F64639">
        <w:t>. Az egyéb intézkedésekben jelentkező kölcsönhatás (több intézkedésnél a termelői csoportbeli tagság preferenciát jelentett a pontozásnál) vonzóvá tette a te</w:t>
      </w:r>
      <w:r w:rsidRPr="00F64639">
        <w:t>r</w:t>
      </w:r>
      <w:r w:rsidRPr="00F64639">
        <w:t>melői csoporthoz való csatlakozást, így az értékesítési volumen bővülhetett. Az is megfogalmazódott, hogy az intézkedéssel jelentkező ösztönzők nélkül a termelői összefogás nem érte volna el a jelenlegi mértéket, le</w:t>
      </w:r>
      <w:r w:rsidRPr="00F64639">
        <w:t>g</w:t>
      </w:r>
      <w:r w:rsidRPr="00F64639">
        <w:t>alábbis a nagyobb piaci szereplők mellett a kisebb termelők piaci rendszerbe történő bekapcsolódása az intézkedés nélkül még ilyen mértékben sem érvényesülhetett volna.</w:t>
      </w:r>
    </w:p>
    <w:p w:rsidR="00EB6C9F" w:rsidRPr="00F64639" w:rsidRDefault="00EB6C9F" w:rsidP="00711F5E">
      <w:pPr>
        <w:pStyle w:val="HUNNormal"/>
        <w:tabs>
          <w:tab w:val="left" w:pos="709"/>
        </w:tabs>
        <w:rPr>
          <w:b/>
          <w:bCs/>
        </w:rPr>
      </w:pPr>
      <w:r w:rsidRPr="00F64639">
        <w:rPr>
          <w:b/>
          <w:bCs/>
        </w:rPr>
        <w:t>Hatékonyságvizsgálat</w:t>
      </w:r>
    </w:p>
    <w:p w:rsidR="00C24E0A" w:rsidRPr="00711F5E" w:rsidRDefault="005E5031" w:rsidP="00711F5E">
      <w:pPr>
        <w:pStyle w:val="HUNNormal"/>
        <w:tabs>
          <w:tab w:val="left" w:pos="709"/>
        </w:tabs>
        <w:rPr>
          <w:bCs/>
        </w:rPr>
      </w:pPr>
      <w:proofErr w:type="gramStart"/>
      <w:r w:rsidRPr="00F64639">
        <w:rPr>
          <w:bCs/>
        </w:rPr>
        <w:t xml:space="preserve">Az  </w:t>
      </w:r>
      <w:proofErr w:type="spellStart"/>
      <w:r w:rsidRPr="00F64639">
        <w:rPr>
          <w:bCs/>
        </w:rPr>
        <w:t>ÚMVP-ben</w:t>
      </w:r>
      <w:proofErr w:type="spellEnd"/>
      <w:proofErr w:type="gramEnd"/>
      <w:r w:rsidRPr="00F64639">
        <w:rPr>
          <w:bCs/>
        </w:rPr>
        <w:t xml:space="preserve"> tervezethez képest azonosítható </w:t>
      </w:r>
      <w:r w:rsidR="00C24E0A" w:rsidRPr="00F64639">
        <w:rPr>
          <w:bCs/>
        </w:rPr>
        <w:t>ágazati eltérés háttere valószínűleg a termelői csoportok minősítésénél tapasztalható anomáliákban keresendő. A termelői csoportok elismerésének hazai szabály</w:t>
      </w:r>
      <w:r w:rsidR="00C24E0A" w:rsidRPr="00F64639">
        <w:rPr>
          <w:bCs/>
        </w:rPr>
        <w:t>o</w:t>
      </w:r>
      <w:r w:rsidR="00C24E0A" w:rsidRPr="00F64639">
        <w:rPr>
          <w:bCs/>
        </w:rPr>
        <w:t>zása többször változott, de a SAPARD intézkedések előkészítése során kialakított jogi feltételekkel ellenté</w:t>
      </w:r>
      <w:r w:rsidR="00C24E0A" w:rsidRPr="00F64639">
        <w:rPr>
          <w:bCs/>
        </w:rPr>
        <w:t>t</w:t>
      </w:r>
      <w:r w:rsidR="00C24E0A" w:rsidRPr="00F64639">
        <w:rPr>
          <w:bCs/>
        </w:rPr>
        <w:t>ben már a 2004. évi szabályozás, majd az azt követő módosítások is lényegében olyan irányba hatottak, amelynek következtében nem kizárólag az intézkedés fő célkitűzésének megfelelő - a termelők alulról épí</w:t>
      </w:r>
      <w:r w:rsidR="00C24E0A" w:rsidRPr="00F64639">
        <w:rPr>
          <w:bCs/>
        </w:rPr>
        <w:t>t</w:t>
      </w:r>
      <w:r w:rsidR="00C24E0A" w:rsidRPr="00F64639">
        <w:rPr>
          <w:bCs/>
        </w:rPr>
        <w:t>kező – szervezetei erősödhettek meg, hanem inkább olyan szerveződések létrejöttét ösztönözték, amelye</w:t>
      </w:r>
      <w:r w:rsidR="00C24E0A" w:rsidRPr="00F64639">
        <w:rPr>
          <w:bCs/>
        </w:rPr>
        <w:t>k</w:t>
      </w:r>
      <w:r w:rsidR="00C24E0A" w:rsidRPr="00F64639">
        <w:rPr>
          <w:bCs/>
        </w:rPr>
        <w:t>ben nagy befolyással rendelkező piaci szereplők dominanciája erősödhetett. (</w:t>
      </w:r>
      <w:r w:rsidR="00D42704" w:rsidRPr="00F64639">
        <w:rPr>
          <w:bCs/>
        </w:rPr>
        <w:t>P</w:t>
      </w:r>
      <w:r w:rsidR="00C24E0A" w:rsidRPr="00F64639">
        <w:rPr>
          <w:bCs/>
        </w:rPr>
        <w:t>l.</w:t>
      </w:r>
      <w:r w:rsidR="00711F5E" w:rsidRPr="00F64639">
        <w:rPr>
          <w:bCs/>
        </w:rPr>
        <w:t xml:space="preserve">: a gabona, </w:t>
      </w:r>
      <w:r w:rsidR="00C24E0A" w:rsidRPr="00F64639">
        <w:rPr>
          <w:bCs/>
        </w:rPr>
        <w:t>és más nagy volumenű ágazatok esetében</w:t>
      </w:r>
      <w:r w:rsidR="00711F5E" w:rsidRPr="00F64639">
        <w:rPr>
          <w:bCs/>
        </w:rPr>
        <w:t>,</w:t>
      </w:r>
      <w:r w:rsidR="00C24E0A" w:rsidRPr="00F64639">
        <w:rPr>
          <w:bCs/>
        </w:rPr>
        <w:t xml:space="preserve"> a termelői csoportokban a természetes személyektől származó árbevételnek el kell érnie legalább 3%-ot, ami gyakran úgy realizálódik, hogy </w:t>
      </w:r>
      <w:r w:rsidR="00C24E0A" w:rsidRPr="00F64639">
        <w:rPr>
          <w:b/>
          <w:bCs/>
        </w:rPr>
        <w:t>a nagy piaci szereplők annyi magántermelőt vonnak be, hogy az előírt arányt elérje a csoport</w:t>
      </w:r>
      <w:r w:rsidR="00C24E0A" w:rsidRPr="00F64639">
        <w:rPr>
          <w:bCs/>
        </w:rPr>
        <w:t xml:space="preserve"> és nem az történik, hogy a térség piactól eddig elzárt sz</w:t>
      </w:r>
      <w:r w:rsidR="00C24E0A" w:rsidRPr="00F64639">
        <w:rPr>
          <w:bCs/>
        </w:rPr>
        <w:t>e</w:t>
      </w:r>
      <w:r w:rsidR="00C24E0A" w:rsidRPr="00F64639">
        <w:rPr>
          <w:bCs/>
        </w:rPr>
        <w:t xml:space="preserve">replői kerülnének valós piaci helyzetbe.) A jelenlegi ágazati megoszlást </w:t>
      </w:r>
      <w:r w:rsidR="00711F5E" w:rsidRPr="00F64639">
        <w:rPr>
          <w:bCs/>
        </w:rPr>
        <w:t>a következő ábra</w:t>
      </w:r>
      <w:r w:rsidR="00C24E0A" w:rsidRPr="00F64639">
        <w:rPr>
          <w:bCs/>
        </w:rPr>
        <w:t xml:space="preserve"> mutatja.</w:t>
      </w:r>
    </w:p>
    <w:sectPr w:rsidR="00C24E0A" w:rsidRPr="00711F5E" w:rsidSect="007A3B59">
      <w:headerReference w:type="default" r:id="rId20"/>
      <w:footerReference w:type="default" r:id="rId21"/>
      <w:headerReference w:type="first" r:id="rId22"/>
      <w:pgSz w:w="11907" w:h="16840" w:code="9"/>
      <w:pgMar w:top="1985" w:right="1372" w:bottom="1701" w:left="1372" w:header="953" w:footer="578" w:gutter="0"/>
      <w:pgNumType w:start="54"/>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44" w:rsidRDefault="00AA5244">
      <w:r>
        <w:separator/>
      </w:r>
    </w:p>
  </w:endnote>
  <w:endnote w:type="continuationSeparator" w:id="0">
    <w:p w:rsidR="00AA5244" w:rsidRDefault="00AA5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E7" w:rsidRPr="00963878" w:rsidRDefault="00E038E7" w:rsidP="0056470D">
    <w:pPr>
      <w:pBdr>
        <w:top w:val="single" w:sz="4" w:space="1" w:color="auto"/>
      </w:pBdr>
      <w:spacing w:before="120" w:line="120" w:lineRule="atLeast"/>
      <w:jc w:val="right"/>
      <w:rPr>
        <w:color w:val="53564F"/>
        <w:sz w:val="14"/>
        <w:szCs w:val="18"/>
      </w:rPr>
    </w:pPr>
    <w:r w:rsidRPr="00963878">
      <w:rPr>
        <w:rFonts w:ascii="Franklin Gothic Demi" w:hAnsi="Franklin Gothic Demi"/>
        <w:color w:val="53564F"/>
        <w:sz w:val="14"/>
        <w:szCs w:val="18"/>
      </w:rPr>
      <w:t>Dátum:</w:t>
    </w:r>
    <w:r>
      <w:rPr>
        <w:rFonts w:ascii="Franklin Gothic Demi" w:hAnsi="Franklin Gothic Demi"/>
        <w:color w:val="53564F"/>
        <w:sz w:val="14"/>
        <w:szCs w:val="18"/>
      </w:rPr>
      <w:t xml:space="preserve"> </w:t>
    </w:r>
    <w:fldSimple w:instr=" DATE   \* MERGEFORMAT ">
      <w:r w:rsidRPr="00855AD0">
        <w:rPr>
          <w:noProof/>
          <w:color w:val="53564F"/>
          <w:sz w:val="14"/>
          <w:szCs w:val="18"/>
        </w:rPr>
        <w:t>2010.12.22.</w:t>
      </w:r>
    </w:fldSimple>
    <w:r w:rsidRPr="00963878">
      <w:rPr>
        <w:color w:val="53564F"/>
        <w:sz w:val="14"/>
        <w:szCs w:val="18"/>
      </w:rPr>
      <w:t xml:space="preserve">– </w:t>
    </w:r>
    <w:r w:rsidRPr="00963878">
      <w:rPr>
        <w:rFonts w:ascii="Franklin Gothic Demi" w:hAnsi="Franklin Gothic Demi"/>
        <w:color w:val="53564F"/>
        <w:sz w:val="14"/>
        <w:szCs w:val="18"/>
      </w:rPr>
      <w:t>Készítette:</w:t>
    </w:r>
    <w:r w:rsidRPr="00963878">
      <w:rPr>
        <w:color w:val="53564F"/>
        <w:sz w:val="14"/>
        <w:szCs w:val="18"/>
      </w:rPr>
      <w:t xml:space="preserve"> </w:t>
    </w:r>
    <w:r>
      <w:rPr>
        <w:color w:val="53564F"/>
        <w:sz w:val="14"/>
        <w:szCs w:val="14"/>
      </w:rPr>
      <w:t>HUNGARIKUM Konzorcium</w:t>
    </w:r>
  </w:p>
  <w:p w:rsidR="00E038E7" w:rsidRPr="0056470D" w:rsidRDefault="00E038E7" w:rsidP="0056470D">
    <w:pPr>
      <w:spacing w:before="120" w:line="120" w:lineRule="atLeast"/>
      <w:jc w:val="right"/>
      <w:rPr>
        <w:szCs w:val="14"/>
      </w:rPr>
    </w:pPr>
    <w:r w:rsidRPr="00963878">
      <w:rPr>
        <w:rFonts w:ascii="Franklin Gothic Demi" w:hAnsi="Franklin Gothic Demi"/>
        <w:color w:val="53564F"/>
        <w:sz w:val="14"/>
        <w:szCs w:val="18"/>
      </w:rPr>
      <w:t>Fájlnév</w:t>
    </w:r>
    <w:r w:rsidRPr="00963878">
      <w:rPr>
        <w:rFonts w:ascii="Franklin Gothic Demi" w:hAnsi="Franklin Gothic Demi"/>
        <w:color w:val="53564F"/>
        <w:sz w:val="14"/>
        <w:szCs w:val="14"/>
      </w:rPr>
      <w:t>:</w:t>
    </w:r>
    <w:r w:rsidRPr="00963878">
      <w:rPr>
        <w:color w:val="53564F"/>
        <w:sz w:val="14"/>
        <w:szCs w:val="14"/>
      </w:rPr>
      <w:t xml:space="preserve"> </w:t>
    </w:r>
    <w:r w:rsidRPr="00963878">
      <w:rPr>
        <w:color w:val="53564F"/>
        <w:sz w:val="14"/>
        <w:szCs w:val="14"/>
      </w:rPr>
      <w:fldChar w:fldCharType="begin"/>
    </w:r>
    <w:r w:rsidRPr="00963878">
      <w:rPr>
        <w:color w:val="53564F"/>
        <w:sz w:val="14"/>
        <w:szCs w:val="14"/>
      </w:rPr>
      <w:instrText xml:space="preserve"> FILENAME </w:instrText>
    </w:r>
    <w:r w:rsidRPr="00963878">
      <w:rPr>
        <w:color w:val="53564F"/>
        <w:sz w:val="14"/>
        <w:szCs w:val="14"/>
      </w:rPr>
      <w:fldChar w:fldCharType="separate"/>
    </w:r>
    <w:r>
      <w:rPr>
        <w:noProof/>
        <w:color w:val="53564F"/>
        <w:sz w:val="14"/>
        <w:szCs w:val="14"/>
      </w:rPr>
      <w:t>UMVPMTE_Zárójelentés_5 1_fejezet_v26</w:t>
    </w:r>
    <w:r w:rsidRPr="00963878">
      <w:rPr>
        <w:color w:val="53564F"/>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44" w:rsidRDefault="00AA5244">
      <w:r>
        <w:separator/>
      </w:r>
    </w:p>
  </w:footnote>
  <w:footnote w:type="continuationSeparator" w:id="0">
    <w:p w:rsidR="00AA5244" w:rsidRDefault="00AA5244">
      <w:r>
        <w:continuationSeparator/>
      </w:r>
    </w:p>
  </w:footnote>
  <w:footnote w:id="1">
    <w:p w:rsidR="00E038E7" w:rsidRDefault="00E038E7" w:rsidP="008B122E">
      <w:pPr>
        <w:pStyle w:val="FootnoteText"/>
        <w:jc w:val="both"/>
      </w:pPr>
      <w:r>
        <w:rPr>
          <w:rStyle w:val="FootnoteReference"/>
        </w:rPr>
        <w:footnoteRef/>
      </w:r>
      <w:r>
        <w:t xml:space="preserve"> </w:t>
      </w:r>
      <w:r w:rsidRPr="008B122E">
        <w:rPr>
          <w:sz w:val="18"/>
        </w:rPr>
        <w:t>Eredeti jogcímrendelet: 139/2008. (X.22.) FVM rendelet, a módosítás: 50/2009. (IV.16.) FVM rendelet.</w:t>
      </w:r>
    </w:p>
  </w:footnote>
  <w:footnote w:id="2">
    <w:p w:rsidR="00E038E7" w:rsidRDefault="00E038E7" w:rsidP="008077C4">
      <w:pPr>
        <w:pStyle w:val="FootnoteText"/>
        <w:jc w:val="both"/>
      </w:pPr>
      <w:r>
        <w:rPr>
          <w:rStyle w:val="FootnoteReference"/>
        </w:rPr>
        <w:footnoteRef/>
      </w:r>
      <w:r>
        <w:t xml:space="preserve"> </w:t>
      </w:r>
      <w:r w:rsidRPr="008077C4">
        <w:rPr>
          <w:sz w:val="18"/>
        </w:rPr>
        <w:t xml:space="preserve">Forrás: MVH Szervezési és Koordinációs Főosztály 2010.08.06-án átadott ún. </w:t>
      </w:r>
      <w:proofErr w:type="gramStart"/>
      <w:r w:rsidRPr="008077C4">
        <w:rPr>
          <w:sz w:val="18"/>
        </w:rPr>
        <w:t>tételes</w:t>
      </w:r>
      <w:proofErr w:type="gramEnd"/>
      <w:r w:rsidRPr="008077C4">
        <w:rPr>
          <w:sz w:val="18"/>
        </w:rPr>
        <w:t xml:space="preserve"> lista alapján. Az adatbázis az IIER 2010.06.30-i adatállományát tartalmazta</w:t>
      </w:r>
      <w:r>
        <w:t>.</w:t>
      </w:r>
    </w:p>
  </w:footnote>
  <w:footnote w:id="3">
    <w:p w:rsidR="00E038E7" w:rsidRDefault="00E038E7" w:rsidP="00732BC6">
      <w:pPr>
        <w:pStyle w:val="FootnoteText"/>
        <w:jc w:val="both"/>
      </w:pPr>
      <w:r>
        <w:rPr>
          <w:rStyle w:val="FootnoteReference"/>
        </w:rPr>
        <w:footnoteRef/>
      </w:r>
      <w:r>
        <w:t xml:space="preserve"> </w:t>
      </w:r>
      <w:r w:rsidRPr="00732BC6">
        <w:rPr>
          <w:sz w:val="18"/>
        </w:rPr>
        <w:t>Forrás: Új Magyarország Vidékfejlesztési Program, 2010. május, verzió: 7</w:t>
      </w:r>
      <w:r>
        <w:rPr>
          <w:sz w:val="18"/>
        </w:rPr>
        <w:t xml:space="preserve">. Az indikatív </w:t>
      </w:r>
      <w:proofErr w:type="gramStart"/>
      <w:r>
        <w:rPr>
          <w:sz w:val="18"/>
        </w:rPr>
        <w:t>keret intézkedés</w:t>
      </w:r>
      <w:proofErr w:type="gramEnd"/>
      <w:r>
        <w:rPr>
          <w:sz w:val="18"/>
        </w:rPr>
        <w:t xml:space="preserve"> szinten lett meghatározva.</w:t>
      </w:r>
    </w:p>
  </w:footnote>
  <w:footnote w:id="4">
    <w:p w:rsidR="00E038E7" w:rsidRDefault="00E038E7" w:rsidP="00F85760">
      <w:pPr>
        <w:pStyle w:val="FootnoteText"/>
        <w:jc w:val="both"/>
      </w:pPr>
      <w:r>
        <w:rPr>
          <w:rStyle w:val="FootnoteReference"/>
        </w:rPr>
        <w:footnoteRef/>
      </w:r>
      <w:r>
        <w:t xml:space="preserve"> </w:t>
      </w:r>
      <w:r w:rsidRPr="00F85760">
        <w:rPr>
          <w:sz w:val="18"/>
        </w:rPr>
        <w:t>Az MVH Szervezési és Koordinációs Főosztályától kapott, 2010.06.</w:t>
      </w:r>
      <w:proofErr w:type="gramStart"/>
      <w:r w:rsidRPr="00F85760">
        <w:rPr>
          <w:sz w:val="18"/>
        </w:rPr>
        <w:t>30-i állapotú</w:t>
      </w:r>
      <w:proofErr w:type="gramEnd"/>
      <w:r w:rsidRPr="00F85760">
        <w:rPr>
          <w:sz w:val="18"/>
        </w:rPr>
        <w:t xml:space="preserve"> lekérdezés </w:t>
      </w:r>
      <w:r>
        <w:rPr>
          <w:sz w:val="18"/>
        </w:rPr>
        <w:t xml:space="preserve">2635 db – el nem bírált – támogatási kérelmet tartalmaz. A </w:t>
      </w:r>
      <w:r w:rsidRPr="00F85760">
        <w:rPr>
          <w:sz w:val="18"/>
        </w:rPr>
        <w:t>Fejlesztési Főosztálytól kapott – 2010.09.</w:t>
      </w:r>
      <w:proofErr w:type="gramStart"/>
      <w:r w:rsidRPr="00F85760">
        <w:rPr>
          <w:sz w:val="18"/>
        </w:rPr>
        <w:t>28-i állapotú</w:t>
      </w:r>
      <w:proofErr w:type="gramEnd"/>
      <w:r>
        <w:rPr>
          <w:sz w:val="18"/>
        </w:rPr>
        <w:t xml:space="preserve"> – átfutási </w:t>
      </w:r>
      <w:r w:rsidRPr="00F85760">
        <w:rPr>
          <w:sz w:val="18"/>
        </w:rPr>
        <w:t>idő adatbázis azo</w:t>
      </w:r>
      <w:r w:rsidRPr="00F85760">
        <w:rPr>
          <w:sz w:val="18"/>
        </w:rPr>
        <w:t>n</w:t>
      </w:r>
      <w:r>
        <w:rPr>
          <w:sz w:val="18"/>
        </w:rPr>
        <w:t>ban már összesen 5997 db támogatási kérelmet tartalmaz – melyből 179 esetben született meg a döntés: 4 kérelem esetében támogató határozat.</w:t>
      </w:r>
    </w:p>
  </w:footnote>
  <w:footnote w:id="5">
    <w:p w:rsidR="00E038E7" w:rsidRDefault="00E038E7" w:rsidP="003F1EA3">
      <w:pPr>
        <w:pStyle w:val="FootnoteText"/>
        <w:jc w:val="both"/>
      </w:pPr>
      <w:r>
        <w:rPr>
          <w:rStyle w:val="FootnoteReference"/>
        </w:rPr>
        <w:footnoteRef/>
      </w:r>
      <w:r>
        <w:t xml:space="preserve"> </w:t>
      </w:r>
      <w:proofErr w:type="gramStart"/>
      <w:r w:rsidRPr="003C7EEA">
        <w:rPr>
          <w:iCs/>
          <w:sz w:val="18"/>
          <w:szCs w:val="22"/>
        </w:rPr>
        <w:t>az</w:t>
      </w:r>
      <w:proofErr w:type="gramEnd"/>
      <w:r w:rsidRPr="003C7EEA">
        <w:rPr>
          <w:iCs/>
          <w:sz w:val="18"/>
          <w:szCs w:val="22"/>
        </w:rPr>
        <w:t xml:space="preserve"> ÚMVP </w:t>
      </w:r>
      <w:proofErr w:type="spellStart"/>
      <w:r w:rsidRPr="003C7EEA">
        <w:rPr>
          <w:iCs/>
          <w:sz w:val="18"/>
          <w:szCs w:val="22"/>
        </w:rPr>
        <w:t>tervezésekori</w:t>
      </w:r>
      <w:proofErr w:type="spellEnd"/>
      <w:r w:rsidRPr="003C7EEA">
        <w:rPr>
          <w:iCs/>
          <w:sz w:val="18"/>
          <w:szCs w:val="22"/>
        </w:rPr>
        <w:t xml:space="preserve"> árfolyammal (272,1 Ft/</w:t>
      </w:r>
      <w:r>
        <w:rPr>
          <w:iCs/>
          <w:sz w:val="18"/>
          <w:szCs w:val="22"/>
        </w:rPr>
        <w:t>EUR</w:t>
      </w:r>
      <w:r w:rsidRPr="003C7EEA">
        <w:rPr>
          <w:iCs/>
          <w:sz w:val="18"/>
          <w:szCs w:val="22"/>
        </w:rPr>
        <w:t>) számol</w:t>
      </w:r>
      <w:r>
        <w:rPr>
          <w:iCs/>
          <w:sz w:val="18"/>
          <w:szCs w:val="22"/>
        </w:rPr>
        <w:t>va</w:t>
      </w:r>
      <w:r w:rsidRPr="003C7EEA">
        <w:rPr>
          <w:iCs/>
          <w:sz w:val="18"/>
          <w:szCs w:val="22"/>
        </w:rPr>
        <w:t>.</w:t>
      </w:r>
    </w:p>
  </w:footnote>
  <w:footnote w:id="6">
    <w:p w:rsidR="00E038E7" w:rsidRPr="0064188A" w:rsidRDefault="00E038E7">
      <w:pPr>
        <w:pStyle w:val="FootnoteText"/>
        <w:rPr>
          <w:sz w:val="18"/>
          <w:szCs w:val="18"/>
        </w:rPr>
      </w:pPr>
      <w:r w:rsidRPr="0064188A">
        <w:rPr>
          <w:rStyle w:val="FootnoteReference"/>
          <w:sz w:val="18"/>
          <w:szCs w:val="18"/>
        </w:rPr>
        <w:footnoteRef/>
      </w:r>
      <w:r w:rsidRPr="0064188A">
        <w:rPr>
          <w:sz w:val="18"/>
          <w:szCs w:val="18"/>
        </w:rPr>
        <w:t xml:space="preserve"> A közbeszerzést az ÚMVP általános kommunikációját is támogató </w:t>
      </w:r>
      <w:proofErr w:type="spellStart"/>
      <w:r w:rsidRPr="0064188A">
        <w:rPr>
          <w:sz w:val="18"/>
          <w:szCs w:val="18"/>
        </w:rPr>
        <w:t>Insomnia</w:t>
      </w:r>
      <w:proofErr w:type="spellEnd"/>
      <w:r w:rsidRPr="0064188A">
        <w:rPr>
          <w:sz w:val="18"/>
          <w:szCs w:val="18"/>
        </w:rPr>
        <w:t xml:space="preserve"> Kft. nyerte el.</w:t>
      </w:r>
    </w:p>
  </w:footnote>
  <w:footnote w:id="7">
    <w:p w:rsidR="00E038E7" w:rsidRDefault="00E038E7" w:rsidP="005A2011">
      <w:pPr>
        <w:pStyle w:val="FootnoteText"/>
        <w:jc w:val="both"/>
      </w:pPr>
      <w:r>
        <w:rPr>
          <w:rStyle w:val="FootnoteReference"/>
        </w:rPr>
        <w:footnoteRef/>
      </w:r>
      <w:r>
        <w:t xml:space="preserve"> </w:t>
      </w:r>
      <w:r w:rsidRPr="005A2011">
        <w:rPr>
          <w:sz w:val="18"/>
        </w:rPr>
        <w:t xml:space="preserve">Az </w:t>
      </w:r>
      <w:proofErr w:type="spellStart"/>
      <w:r w:rsidRPr="005A2011">
        <w:rPr>
          <w:sz w:val="18"/>
        </w:rPr>
        <w:t>IIER-ben</w:t>
      </w:r>
      <w:proofErr w:type="spellEnd"/>
      <w:r w:rsidRPr="005A2011">
        <w:rPr>
          <w:sz w:val="18"/>
        </w:rPr>
        <w:t xml:space="preserve"> rögzített TEÁOR kódok alapján.</w:t>
      </w:r>
    </w:p>
  </w:footnote>
  <w:footnote w:id="8">
    <w:p w:rsidR="00E038E7" w:rsidRDefault="00E038E7" w:rsidP="00523378">
      <w:pPr>
        <w:pStyle w:val="FootnoteText"/>
        <w:jc w:val="both"/>
      </w:pPr>
      <w:r>
        <w:rPr>
          <w:rStyle w:val="FootnoteReference"/>
        </w:rPr>
        <w:footnoteRef/>
      </w:r>
      <w:r>
        <w:t xml:space="preserve"> </w:t>
      </w:r>
      <w:r w:rsidRPr="00523378">
        <w:rPr>
          <w:sz w:val="18"/>
        </w:rPr>
        <w:t>Kötelező képzésnek minősült: AKG kifizetések, Fiatal mezőgazdasági termelők elindítása, Beruházások a szántóföldi növénytermesztésben és a kertészetben, Beruházások az állattenyésztésben, Évelő ültetvények telepítése, Mezőgazd</w:t>
      </w:r>
      <w:r w:rsidRPr="00523378">
        <w:rPr>
          <w:sz w:val="18"/>
        </w:rPr>
        <w:t>a</w:t>
      </w:r>
      <w:r w:rsidRPr="00523378">
        <w:rPr>
          <w:sz w:val="18"/>
        </w:rPr>
        <w:t>sági termékek értéknövelése, Mezőgazdasági vontatóképzés, NATURA 2000 kifizetések, Öntözési, meliorációs és egyéb vízgazdálkodási létesítmény-fejlesztés.</w:t>
      </w:r>
    </w:p>
  </w:footnote>
  <w:footnote w:id="9">
    <w:p w:rsidR="00E038E7" w:rsidRDefault="00E038E7" w:rsidP="007A2597">
      <w:pPr>
        <w:pStyle w:val="FootnoteText"/>
        <w:jc w:val="both"/>
      </w:pPr>
      <w:r>
        <w:rPr>
          <w:rStyle w:val="FootnoteReference"/>
        </w:rPr>
        <w:footnoteRef/>
      </w:r>
      <w:r>
        <w:t xml:space="preserve"> </w:t>
      </w:r>
      <w:r w:rsidRPr="007A2597">
        <w:rPr>
          <w:sz w:val="18"/>
        </w:rPr>
        <w:t>Nem kötelező képzésnek minősült még</w:t>
      </w:r>
      <w:r>
        <w:rPr>
          <w:sz w:val="18"/>
        </w:rPr>
        <w:t xml:space="preserve"> </w:t>
      </w:r>
      <w:proofErr w:type="gramStart"/>
      <w:r>
        <w:rPr>
          <w:sz w:val="18"/>
        </w:rPr>
        <w:t>( a</w:t>
      </w:r>
      <w:proofErr w:type="gramEnd"/>
      <w:r>
        <w:rPr>
          <w:sz w:val="18"/>
        </w:rPr>
        <w:t xml:space="preserve"> már lebonyolított képzések közül)</w:t>
      </w:r>
      <w:r w:rsidRPr="007A2597">
        <w:rPr>
          <w:sz w:val="18"/>
        </w:rPr>
        <w:t>: Mezőgazdasági rakodógép-kezelő, Mez</w:t>
      </w:r>
      <w:r w:rsidRPr="007A2597">
        <w:rPr>
          <w:sz w:val="18"/>
        </w:rPr>
        <w:t>ő</w:t>
      </w:r>
      <w:r w:rsidRPr="007A2597">
        <w:rPr>
          <w:sz w:val="18"/>
        </w:rPr>
        <w:t>gazdasági szárítóüzemi gépkezelő, Növényvédelmi gépkezelő, Önjáró betakarítógép kezelője, Méhész, Motorfűrész-kezelő, Virágkötő, Borász, Növényvédő és méregraktár-kezelő, Vadász, vadtenyésztő.</w:t>
      </w:r>
    </w:p>
  </w:footnote>
  <w:footnote w:id="10">
    <w:p w:rsidR="00E038E7" w:rsidRDefault="00E038E7">
      <w:pPr>
        <w:pStyle w:val="FootnoteText"/>
      </w:pPr>
      <w:r>
        <w:rPr>
          <w:rStyle w:val="FootnoteReference"/>
        </w:rPr>
        <w:footnoteRef/>
      </w:r>
      <w:r>
        <w:t xml:space="preserve"> Amennyiben egy támogatott több képzésen is részt vesz, akkor minden képzési részvétele növeli az output indikátor értékét. Emiatt az indikátor értéke nagyobb lehet a támogatottak számánál.</w:t>
      </w:r>
    </w:p>
  </w:footnote>
  <w:footnote w:id="11">
    <w:p w:rsidR="00E038E7" w:rsidRDefault="00E038E7" w:rsidP="00B3296E">
      <w:pPr>
        <w:pStyle w:val="FootnoteText"/>
        <w:jc w:val="both"/>
      </w:pPr>
      <w:r>
        <w:rPr>
          <w:rStyle w:val="FootnoteReference"/>
        </w:rPr>
        <w:footnoteRef/>
      </w:r>
      <w:r>
        <w:t xml:space="preserve"> </w:t>
      </w:r>
      <w:r w:rsidRPr="00B3296E">
        <w:rPr>
          <w:sz w:val="18"/>
        </w:rPr>
        <w:t>Összesen 53 helyszíni ellenőrzést végzett a VKSZI.</w:t>
      </w:r>
    </w:p>
  </w:footnote>
  <w:footnote w:id="12">
    <w:p w:rsidR="00E038E7" w:rsidRDefault="00E038E7" w:rsidP="00DC1AEA">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13">
    <w:p w:rsidR="00E038E7" w:rsidRDefault="00E038E7" w:rsidP="00DC1AEA">
      <w:pPr>
        <w:pStyle w:val="FootnoteText"/>
        <w:jc w:val="both"/>
      </w:pPr>
      <w:r>
        <w:rPr>
          <w:rStyle w:val="FootnoteReference"/>
        </w:rPr>
        <w:footnoteRef/>
      </w:r>
      <w:r>
        <w:t xml:space="preserve"> </w:t>
      </w:r>
      <w:r w:rsidRPr="00732BC6">
        <w:rPr>
          <w:sz w:val="18"/>
        </w:rPr>
        <w:t>Forrás: Új Magyarország Vidékfejlesztési Program, 2010. május, verzió: 7</w:t>
      </w:r>
      <w:r>
        <w:rPr>
          <w:sz w:val="18"/>
        </w:rPr>
        <w:t xml:space="preserve">. Az indikatív </w:t>
      </w:r>
      <w:proofErr w:type="gramStart"/>
      <w:r>
        <w:rPr>
          <w:sz w:val="18"/>
        </w:rPr>
        <w:t>keret intézkedés</w:t>
      </w:r>
      <w:proofErr w:type="gramEnd"/>
      <w:r>
        <w:rPr>
          <w:sz w:val="18"/>
        </w:rPr>
        <w:t xml:space="preserve"> szinten lett meghatározva.</w:t>
      </w:r>
    </w:p>
  </w:footnote>
  <w:footnote w:id="14">
    <w:p w:rsidR="00E038E7" w:rsidRDefault="00E038E7" w:rsidP="00DC1AEA">
      <w:pPr>
        <w:pStyle w:val="FootnoteText"/>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rPr>
        <w:t>89 878 607 EUR</w:t>
      </w:r>
      <w:r w:rsidRPr="00212838">
        <w:rPr>
          <w:sz w:val="18"/>
        </w:rPr>
        <w:t>.</w:t>
      </w:r>
    </w:p>
  </w:footnote>
  <w:footnote w:id="15">
    <w:p w:rsidR="00E038E7" w:rsidRDefault="00E038E7" w:rsidP="00DC1AEA">
      <w:pPr>
        <w:pStyle w:val="FootnoteText"/>
        <w:jc w:val="both"/>
      </w:pPr>
      <w:r>
        <w:rPr>
          <w:rStyle w:val="FootnoteReference"/>
        </w:rPr>
        <w:footnoteRef/>
      </w:r>
      <w:r>
        <w:t xml:space="preserve"> </w:t>
      </w:r>
      <w:r w:rsidRPr="00212838">
        <w:rPr>
          <w:sz w:val="18"/>
        </w:rPr>
        <w:t>272,1 Ft/</w:t>
      </w:r>
      <w:r>
        <w:rPr>
          <w:sz w:val="18"/>
        </w:rPr>
        <w:t>EUR árfolyammal számolva.</w:t>
      </w:r>
    </w:p>
  </w:footnote>
  <w:footnote w:id="16">
    <w:p w:rsidR="00E038E7" w:rsidRDefault="00E038E7" w:rsidP="001516A4">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17">
    <w:p w:rsidR="00E038E7" w:rsidRDefault="00E038E7" w:rsidP="001516A4">
      <w:pPr>
        <w:pStyle w:val="FootnoteText"/>
        <w:jc w:val="both"/>
      </w:pPr>
      <w:r>
        <w:rPr>
          <w:rStyle w:val="FootnoteReference"/>
        </w:rPr>
        <w:footnoteRef/>
      </w:r>
      <w:r>
        <w:t xml:space="preserve"> </w:t>
      </w:r>
      <w:r w:rsidRPr="00732BC6">
        <w:rPr>
          <w:sz w:val="18"/>
        </w:rPr>
        <w:t>Forrás: Új Magyarország Vidékfejlesztési Program, 2010. május, verzió: 7</w:t>
      </w:r>
      <w:r>
        <w:rPr>
          <w:sz w:val="18"/>
        </w:rPr>
        <w:t xml:space="preserve">. Az indikatív </w:t>
      </w:r>
      <w:proofErr w:type="gramStart"/>
      <w:r>
        <w:rPr>
          <w:sz w:val="18"/>
        </w:rPr>
        <w:t>keret intézkedés</w:t>
      </w:r>
      <w:proofErr w:type="gramEnd"/>
      <w:r>
        <w:rPr>
          <w:sz w:val="18"/>
        </w:rPr>
        <w:t xml:space="preserve"> szinten lett meghatározva.</w:t>
      </w:r>
    </w:p>
  </w:footnote>
  <w:footnote w:id="18">
    <w:p w:rsidR="00E038E7" w:rsidRDefault="00E038E7" w:rsidP="001516A4">
      <w:pPr>
        <w:pStyle w:val="FootnoteText"/>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F2129D">
        <w:rPr>
          <w:sz w:val="18"/>
        </w:rPr>
        <w:t>1</w:t>
      </w:r>
      <w:r>
        <w:rPr>
          <w:sz w:val="18"/>
        </w:rPr>
        <w:t> </w:t>
      </w:r>
      <w:r w:rsidRPr="00F2129D">
        <w:rPr>
          <w:sz w:val="18"/>
        </w:rPr>
        <w:t>130</w:t>
      </w:r>
      <w:r>
        <w:rPr>
          <w:sz w:val="18"/>
        </w:rPr>
        <w:t> </w:t>
      </w:r>
      <w:r w:rsidRPr="00F2129D">
        <w:rPr>
          <w:sz w:val="18"/>
        </w:rPr>
        <w:t>222</w:t>
      </w:r>
      <w:r>
        <w:rPr>
          <w:sz w:val="18"/>
        </w:rPr>
        <w:t xml:space="preserve"> EUR</w:t>
      </w:r>
      <w:r w:rsidRPr="00212838">
        <w:rPr>
          <w:sz w:val="18"/>
        </w:rPr>
        <w:t>.</w:t>
      </w:r>
    </w:p>
  </w:footnote>
  <w:footnote w:id="19">
    <w:p w:rsidR="00E038E7" w:rsidRDefault="00E038E7" w:rsidP="001516A4">
      <w:pPr>
        <w:pStyle w:val="FootnoteText"/>
        <w:jc w:val="both"/>
      </w:pPr>
      <w:r>
        <w:rPr>
          <w:rStyle w:val="FootnoteReference"/>
        </w:rPr>
        <w:footnoteRef/>
      </w:r>
      <w:r>
        <w:t xml:space="preserve"> </w:t>
      </w:r>
      <w:r w:rsidRPr="00212838">
        <w:rPr>
          <w:sz w:val="18"/>
        </w:rPr>
        <w:t>272,1 Ft/</w:t>
      </w:r>
      <w:r>
        <w:rPr>
          <w:sz w:val="18"/>
        </w:rPr>
        <w:t>EUR árfolyammal számolva.</w:t>
      </w:r>
    </w:p>
  </w:footnote>
  <w:footnote w:id="20">
    <w:p w:rsidR="00E038E7" w:rsidRDefault="00E038E7" w:rsidP="004F56B8">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21">
    <w:p w:rsidR="00E038E7" w:rsidRDefault="00E038E7" w:rsidP="004F56B8">
      <w:pPr>
        <w:pStyle w:val="FootnoteText"/>
        <w:jc w:val="both"/>
      </w:pPr>
      <w:r>
        <w:rPr>
          <w:rStyle w:val="FootnoteReference"/>
        </w:rPr>
        <w:footnoteRef/>
      </w:r>
      <w:r>
        <w:t xml:space="preserve"> </w:t>
      </w:r>
      <w:r w:rsidRPr="00732BC6">
        <w:rPr>
          <w:sz w:val="18"/>
        </w:rPr>
        <w:t>Forrás: Új Magyarország Vidékfejlesztési Program, 2010. május, verzió: 7</w:t>
      </w:r>
      <w:r>
        <w:rPr>
          <w:sz w:val="18"/>
        </w:rPr>
        <w:t xml:space="preserve">. Az indikatív </w:t>
      </w:r>
      <w:proofErr w:type="gramStart"/>
      <w:r>
        <w:rPr>
          <w:sz w:val="18"/>
        </w:rPr>
        <w:t>keret intézkedés</w:t>
      </w:r>
      <w:proofErr w:type="gramEnd"/>
      <w:r>
        <w:rPr>
          <w:sz w:val="18"/>
        </w:rPr>
        <w:t xml:space="preserve"> szinten lett meghatározva.</w:t>
      </w:r>
    </w:p>
  </w:footnote>
  <w:footnote w:id="22">
    <w:p w:rsidR="00E038E7" w:rsidRDefault="00E038E7" w:rsidP="004F56B8">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rPr>
        <w:t>6 865 091 EUR</w:t>
      </w:r>
      <w:r w:rsidRPr="00212838">
        <w:rPr>
          <w:sz w:val="18"/>
        </w:rPr>
        <w:t>.</w:t>
      </w:r>
    </w:p>
  </w:footnote>
  <w:footnote w:id="23">
    <w:p w:rsidR="00E038E7" w:rsidRDefault="00E038E7" w:rsidP="004F56B8">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w:t>
      </w:r>
    </w:p>
  </w:footnote>
  <w:footnote w:id="24">
    <w:p w:rsidR="00E038E7" w:rsidRDefault="00E038E7" w:rsidP="004F56B8">
      <w:pPr>
        <w:pStyle w:val="FootnoteText"/>
        <w:jc w:val="both"/>
      </w:pPr>
      <w:r>
        <w:rPr>
          <w:rStyle w:val="FootnoteReference"/>
        </w:rPr>
        <w:footnoteRef/>
      </w:r>
      <w:r>
        <w:t xml:space="preserve"> </w:t>
      </w:r>
      <w:r w:rsidRPr="003A000D">
        <w:rPr>
          <w:sz w:val="18"/>
        </w:rPr>
        <w:t>Jelenleg 82 db TSZK működik.</w:t>
      </w:r>
    </w:p>
  </w:footnote>
  <w:footnote w:id="25">
    <w:p w:rsidR="00E038E7" w:rsidRDefault="00E038E7" w:rsidP="003727D4">
      <w:pPr>
        <w:pStyle w:val="FootnoteText"/>
        <w:jc w:val="both"/>
      </w:pPr>
      <w:r>
        <w:rPr>
          <w:rStyle w:val="FootnoteReference"/>
        </w:rPr>
        <w:footnoteRef/>
      </w:r>
      <w:r>
        <w:t xml:space="preserve"> </w:t>
      </w:r>
      <w:r w:rsidRPr="00582A2C">
        <w:rPr>
          <w:sz w:val="18"/>
        </w:rPr>
        <w:t xml:space="preserve">Az a kedvezményezett, aki több körben kapott támogatást, több monitoring adatszolgáltatást kellett </w:t>
      </w:r>
      <w:proofErr w:type="spellStart"/>
      <w:r w:rsidRPr="00582A2C">
        <w:rPr>
          <w:sz w:val="18"/>
        </w:rPr>
        <w:t>telejsítenie</w:t>
      </w:r>
      <w:proofErr w:type="spellEnd"/>
      <w:r w:rsidRPr="00582A2C">
        <w:rPr>
          <w:sz w:val="18"/>
        </w:rPr>
        <w:t>!</w:t>
      </w:r>
    </w:p>
  </w:footnote>
  <w:footnote w:id="26">
    <w:p w:rsidR="00E038E7" w:rsidRDefault="00E038E7" w:rsidP="003727D4">
      <w:pPr>
        <w:pStyle w:val="FootnoteText"/>
        <w:jc w:val="both"/>
      </w:pPr>
      <w:r>
        <w:rPr>
          <w:rStyle w:val="FootnoteReference"/>
        </w:rPr>
        <w:footnoteRef/>
      </w:r>
      <w:r>
        <w:t xml:space="preserve"> </w:t>
      </w:r>
      <w:r w:rsidRPr="00315341">
        <w:rPr>
          <w:sz w:val="18"/>
        </w:rPr>
        <w:t>Érdekességképp megjegyzendő, hogy az e-monitoring adatszolgáltatás 199 olyan gazdát is tartalmaz (regisztrációs számot), akik nem nyertek támogatást (egységes státusz: elutasított, tartalmi ellenőrzés alatt, törölt, visszavont).</w:t>
      </w:r>
    </w:p>
  </w:footnote>
  <w:footnote w:id="27">
    <w:p w:rsidR="00E038E7" w:rsidRDefault="00E038E7" w:rsidP="003727D4">
      <w:pPr>
        <w:pStyle w:val="FootnoteText"/>
        <w:jc w:val="both"/>
      </w:pPr>
      <w:r>
        <w:rPr>
          <w:rStyle w:val="FootnoteReference"/>
        </w:rPr>
        <w:footnoteRef/>
      </w:r>
      <w:r>
        <w:t xml:space="preserve"> </w:t>
      </w:r>
      <w:r w:rsidRPr="00311046">
        <w:rPr>
          <w:sz w:val="18"/>
        </w:rPr>
        <w:t>Szaktanácsadási tevékenységek igénybevétele</w:t>
      </w:r>
      <w:r>
        <w:rPr>
          <w:sz w:val="18"/>
        </w:rPr>
        <w:t>, a szerződések értéke alapján (Ft)</w:t>
      </w:r>
      <w:r w:rsidRPr="00311046">
        <w:rPr>
          <w:sz w:val="18"/>
        </w:rPr>
        <w:t>, 2007-2010.</w:t>
      </w:r>
      <w:r>
        <w:rPr>
          <w:sz w:val="18"/>
        </w:rPr>
        <w:t xml:space="preserve"> A </w:t>
      </w:r>
      <w:proofErr w:type="spellStart"/>
      <w:r>
        <w:rPr>
          <w:sz w:val="18"/>
        </w:rPr>
        <w:t>VKSZI-től</w:t>
      </w:r>
      <w:proofErr w:type="spellEnd"/>
      <w:r>
        <w:rPr>
          <w:sz w:val="18"/>
        </w:rPr>
        <w:t xml:space="preserve"> 2010.11.15-én kapott adatbázis alapján (</w:t>
      </w:r>
      <w:proofErr w:type="gramStart"/>
      <w:r w:rsidRPr="00311046">
        <w:rPr>
          <w:i/>
          <w:sz w:val="18"/>
        </w:rPr>
        <w:t>állomány azonosító</w:t>
      </w:r>
      <w:proofErr w:type="gramEnd"/>
      <w:r w:rsidRPr="00311046">
        <w:rPr>
          <w:i/>
          <w:sz w:val="18"/>
        </w:rPr>
        <w:t>: szaktan2007_2010.xls</w:t>
      </w:r>
      <w:r>
        <w:rPr>
          <w:sz w:val="18"/>
        </w:rPr>
        <w:t>)</w:t>
      </w:r>
    </w:p>
  </w:footnote>
  <w:footnote w:id="28">
    <w:p w:rsidR="00E038E7" w:rsidRDefault="00E038E7" w:rsidP="003727D4">
      <w:pPr>
        <w:pStyle w:val="FootnoteText"/>
        <w:jc w:val="both"/>
      </w:pPr>
      <w:r>
        <w:rPr>
          <w:rStyle w:val="FootnoteReference"/>
        </w:rPr>
        <w:footnoteRef/>
      </w:r>
      <w:r>
        <w:t xml:space="preserve"> </w:t>
      </w:r>
      <w:r w:rsidRPr="001D1E70">
        <w:rPr>
          <w:sz w:val="18"/>
        </w:rPr>
        <w:t>Növénytermesztési és állattenyésztési, földhasználathoz kapcsolódó szaktanácsadás.</w:t>
      </w:r>
    </w:p>
  </w:footnote>
  <w:footnote w:id="29">
    <w:p w:rsidR="00E038E7" w:rsidRDefault="00E038E7" w:rsidP="004F56B8">
      <w:pPr>
        <w:pStyle w:val="FootnoteText"/>
        <w:jc w:val="both"/>
      </w:pPr>
      <w:r>
        <w:rPr>
          <w:rStyle w:val="FootnoteReference"/>
        </w:rPr>
        <w:footnoteRef/>
      </w:r>
      <w:r>
        <w:t xml:space="preserve"> </w:t>
      </w:r>
      <w:r w:rsidRPr="00EA3692">
        <w:rPr>
          <w:sz w:val="18"/>
        </w:rPr>
        <w:t>Forrás: MVH Fejlesztési Főosztály által 2010.09.28-án átadott adatbázis (</w:t>
      </w:r>
      <w:proofErr w:type="gramStart"/>
      <w:r>
        <w:rPr>
          <w:sz w:val="18"/>
        </w:rPr>
        <w:t>állomány azonosító</w:t>
      </w:r>
      <w:proofErr w:type="gramEnd"/>
      <w:r>
        <w:rPr>
          <w:sz w:val="18"/>
        </w:rPr>
        <w:t xml:space="preserve">: </w:t>
      </w:r>
      <w:proofErr w:type="spellStart"/>
      <w:r w:rsidRPr="00EA3692">
        <w:rPr>
          <w:i/>
          <w:sz w:val="18"/>
        </w:rPr>
        <w:t>tk</w:t>
      </w:r>
      <w:proofErr w:type="spellEnd"/>
      <w:r w:rsidRPr="00EA3692">
        <w:rPr>
          <w:i/>
          <w:sz w:val="18"/>
        </w:rPr>
        <w:t>_20100928.xlsb</w:t>
      </w:r>
      <w:r w:rsidRPr="00EA3692">
        <w:rPr>
          <w:sz w:val="18"/>
        </w:rPr>
        <w:t>). Az alapsokaság nagysága: 18 748 db kérelem.</w:t>
      </w:r>
    </w:p>
  </w:footnote>
  <w:footnote w:id="30">
    <w:p w:rsidR="00E038E7" w:rsidRDefault="00E038E7" w:rsidP="004F56B8">
      <w:pPr>
        <w:pStyle w:val="FootnoteText"/>
        <w:jc w:val="both"/>
      </w:pPr>
      <w:r>
        <w:rPr>
          <w:rStyle w:val="FootnoteReference"/>
        </w:rPr>
        <w:footnoteRef/>
      </w:r>
      <w:r>
        <w:t xml:space="preserve"> </w:t>
      </w:r>
      <w:r w:rsidRPr="00EA3692">
        <w:rPr>
          <w:sz w:val="18"/>
        </w:rPr>
        <w:t>Forrás: MVH Fejlesztési Főosztály által 2010.09.28-án átadott adatbázis (</w:t>
      </w:r>
      <w:proofErr w:type="gramStart"/>
      <w:r>
        <w:rPr>
          <w:sz w:val="18"/>
        </w:rPr>
        <w:t>állomány azonosító</w:t>
      </w:r>
      <w:proofErr w:type="gramEnd"/>
      <w:r>
        <w:rPr>
          <w:sz w:val="18"/>
        </w:rPr>
        <w:t xml:space="preserve">: </w:t>
      </w:r>
      <w:proofErr w:type="spellStart"/>
      <w:r>
        <w:rPr>
          <w:sz w:val="18"/>
        </w:rPr>
        <w:t>k</w:t>
      </w:r>
      <w:r w:rsidRPr="00EA3692">
        <w:rPr>
          <w:i/>
          <w:sz w:val="18"/>
        </w:rPr>
        <w:t>k</w:t>
      </w:r>
      <w:proofErr w:type="spellEnd"/>
      <w:r w:rsidRPr="00EA3692">
        <w:rPr>
          <w:i/>
          <w:sz w:val="18"/>
        </w:rPr>
        <w:t>_20100928.xlsb</w:t>
      </w:r>
      <w:r w:rsidRPr="00EA3692">
        <w:rPr>
          <w:sz w:val="18"/>
        </w:rPr>
        <w:t>). Az alapsokaság nagy</w:t>
      </w:r>
      <w:r>
        <w:rPr>
          <w:sz w:val="18"/>
        </w:rPr>
        <w:t>sága: 13</w:t>
      </w:r>
      <w:r w:rsidRPr="00EA3692">
        <w:rPr>
          <w:sz w:val="18"/>
        </w:rPr>
        <w:t> </w:t>
      </w:r>
      <w:r>
        <w:rPr>
          <w:sz w:val="18"/>
        </w:rPr>
        <w:t>819</w:t>
      </w:r>
      <w:r w:rsidRPr="00EA3692">
        <w:rPr>
          <w:sz w:val="18"/>
        </w:rPr>
        <w:t xml:space="preserve"> db kérelem.</w:t>
      </w:r>
    </w:p>
  </w:footnote>
  <w:footnote w:id="31">
    <w:p w:rsidR="00E038E7" w:rsidRDefault="00E038E7" w:rsidP="004F56B8">
      <w:pPr>
        <w:spacing w:before="0" w:after="0" w:line="240" w:lineRule="auto"/>
        <w:jc w:val="both"/>
      </w:pPr>
      <w:r>
        <w:rPr>
          <w:rStyle w:val="FootnoteReference"/>
        </w:rPr>
        <w:footnoteRef/>
      </w:r>
      <w:r>
        <w:t xml:space="preserve"> </w:t>
      </w:r>
      <w:r w:rsidRPr="00582A2C">
        <w:rPr>
          <w:sz w:val="18"/>
        </w:rPr>
        <w:t>Az MVH az ügyféllel tartotta a kapcsolatot, így a TSZK nem tudta, hogy mi lett az intézkedés sorsa, a TSZK az ügyfelet</w:t>
      </w:r>
      <w:r>
        <w:rPr>
          <w:sz w:val="18"/>
        </w:rPr>
        <w:t xml:space="preserve"> </w:t>
      </w:r>
      <w:r w:rsidRPr="00582A2C">
        <w:rPr>
          <w:sz w:val="18"/>
        </w:rPr>
        <w:t>csak addig tudta tájékoztatni (ez jellemzően megtörtént), hogy a támogatási/kifizetési kér</w:t>
      </w:r>
      <w:r>
        <w:rPr>
          <w:sz w:val="18"/>
        </w:rPr>
        <w:t>elem benyújtásra került. Az MVH</w:t>
      </w:r>
      <w:r w:rsidRPr="00582A2C">
        <w:rPr>
          <w:sz w:val="18"/>
        </w:rPr>
        <w:t xml:space="preserve"> a végső kedvezményezettől a kérelmek benyújtása után olyan bizonylatokat kért be, amely a kérelem formai elbír</w:t>
      </w:r>
      <w:r w:rsidRPr="00582A2C">
        <w:rPr>
          <w:sz w:val="18"/>
        </w:rPr>
        <w:t>á</w:t>
      </w:r>
      <w:r w:rsidRPr="00582A2C">
        <w:rPr>
          <w:sz w:val="18"/>
        </w:rPr>
        <w:t>lásához szükségesek voltak, de hiányuk nem volt kizáró hatályú. A kedvezményezettek általában értetlenek voltak az MVH megkeresésénél, hiszen a kérelmet is a tanácsadóval együtt töltötték ki.</w:t>
      </w:r>
    </w:p>
  </w:footnote>
  <w:footnote w:id="32">
    <w:p w:rsidR="00E038E7" w:rsidRDefault="00E038E7" w:rsidP="001975A4">
      <w:pPr>
        <w:pStyle w:val="FootnoteText"/>
      </w:pPr>
      <w:r>
        <w:rPr>
          <w:rStyle w:val="FootnoteReference"/>
        </w:rPr>
        <w:footnoteRef/>
      </w:r>
      <w:r>
        <w:t xml:space="preserve"> </w:t>
      </w:r>
      <w:r w:rsidRPr="008077C4">
        <w:rPr>
          <w:sz w:val="18"/>
        </w:rPr>
        <w:t xml:space="preserve">Forrás: MVH Szervezési és Koordinációs Főosztály 2010.08.06-án átadott ún. </w:t>
      </w:r>
      <w:proofErr w:type="gramStart"/>
      <w:r w:rsidRPr="008077C4">
        <w:rPr>
          <w:sz w:val="18"/>
        </w:rPr>
        <w:t>tételes</w:t>
      </w:r>
      <w:proofErr w:type="gramEnd"/>
      <w:r w:rsidRPr="008077C4">
        <w:rPr>
          <w:sz w:val="18"/>
        </w:rPr>
        <w:t xml:space="preserve"> lista alapján. Az adatbázis az IIER 2010.06.30-i adatállományát tartalmazta</w:t>
      </w:r>
      <w:r>
        <w:t>.</w:t>
      </w:r>
    </w:p>
  </w:footnote>
  <w:footnote w:id="33">
    <w:p w:rsidR="00E038E7" w:rsidRPr="00EE288D" w:rsidRDefault="00E038E7" w:rsidP="001975A4">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36 974 267 EUR.</w:t>
      </w:r>
    </w:p>
  </w:footnote>
  <w:footnote w:id="34">
    <w:p w:rsidR="00E038E7" w:rsidRPr="00EE288D" w:rsidRDefault="00E038E7" w:rsidP="001975A4">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24 295 688 EUR.</w:t>
      </w:r>
    </w:p>
  </w:footnote>
  <w:footnote w:id="35">
    <w:p w:rsidR="00E038E7" w:rsidRDefault="00E038E7" w:rsidP="00524D0E">
      <w:pPr>
        <w:pStyle w:val="FootnoteText"/>
        <w:jc w:val="both"/>
      </w:pPr>
      <w:r>
        <w:rPr>
          <w:rStyle w:val="FootnoteReference"/>
        </w:rPr>
        <w:footnoteRef/>
      </w:r>
      <w:r>
        <w:t xml:space="preserve"> </w:t>
      </w:r>
      <w:r w:rsidRPr="00524D0E">
        <w:rPr>
          <w:sz w:val="18"/>
        </w:rPr>
        <w:t>Forrás: MVH Fejlesztési Főosztályától 2010.09.17-én kapott támogatási kérelem költségszerkezeti lekérdezés</w:t>
      </w:r>
      <w:r>
        <w:rPr>
          <w:sz w:val="18"/>
        </w:rPr>
        <w:t>, val</w:t>
      </w:r>
      <w:r>
        <w:rPr>
          <w:sz w:val="18"/>
        </w:rPr>
        <w:t>a</w:t>
      </w:r>
      <w:r>
        <w:rPr>
          <w:sz w:val="18"/>
        </w:rPr>
        <w:t>mint a Szervezési és Koordinációs Főosztálytól kapott tételes lista</w:t>
      </w:r>
      <w:r w:rsidRPr="00524D0E">
        <w:rPr>
          <w:sz w:val="18"/>
        </w:rPr>
        <w:t>. A gépkatalógus kategóriák a Gépcsoport dimenziókat tartalmazzák (a gépkatalógus azonosító első két számjegye alap</w:t>
      </w:r>
      <w:r>
        <w:rPr>
          <w:sz w:val="18"/>
        </w:rPr>
        <w:t xml:space="preserve">ján). A megítélt támogatási összegek a költségszerkezeti arányok felhasználásával, projektenként kalkulált összegek összege (nem elszámolható kiadás!). </w:t>
      </w:r>
      <w:r w:rsidRPr="00147559">
        <w:rPr>
          <w:i/>
          <w:sz w:val="18"/>
        </w:rPr>
        <w:t xml:space="preserve">Megjegyzendő, hogy az </w:t>
      </w:r>
      <w:proofErr w:type="spellStart"/>
      <w:r w:rsidRPr="00147559">
        <w:rPr>
          <w:i/>
          <w:sz w:val="18"/>
        </w:rPr>
        <w:t>IIER-ben</w:t>
      </w:r>
      <w:proofErr w:type="spellEnd"/>
      <w:r w:rsidRPr="00147559">
        <w:rPr>
          <w:i/>
          <w:sz w:val="18"/>
        </w:rPr>
        <w:t xml:space="preserve"> rögzített mennyiségi adatok sok esetben vélelmezhetően nem felelnek meg a valóságnak: több esetben felt</w:t>
      </w:r>
      <w:r w:rsidRPr="00147559">
        <w:rPr>
          <w:i/>
          <w:sz w:val="18"/>
        </w:rPr>
        <w:t>ű</w:t>
      </w:r>
      <w:r w:rsidRPr="00147559">
        <w:rPr>
          <w:i/>
          <w:sz w:val="18"/>
        </w:rPr>
        <w:t>nően nagy volt a különbség a mennyiség és az ár (elszámolható kiadás) között. Például: öntözés gépei, berendezései tételnél 1000 db-os egységekben kellett megadni a mennyiséget – a „NETAFIM POT CSEPEGTETŐ GOMBA 2-4L/H/DB 1000DB” tétel megnevezése soron a mennyiség mezőben 28 000-es érték szerepelt, ami azt jelenti, hogy 28 000 000 db tételt összesen 1 232 000 Ft értékben kívánt megvásárolni a támogatott (a gépkatalógusbeli ár 44 000 Ft/1000 db!).</w:t>
      </w:r>
    </w:p>
  </w:footnote>
  <w:footnote w:id="36">
    <w:p w:rsidR="00E038E7" w:rsidRDefault="00E038E7" w:rsidP="00DA3280">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37">
    <w:p w:rsidR="00E038E7" w:rsidRPr="00EE288D" w:rsidRDefault="00E038E7" w:rsidP="00DA3280">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111 807 508 EUR.</w:t>
      </w:r>
    </w:p>
  </w:footnote>
  <w:footnote w:id="38">
    <w:p w:rsidR="00E038E7" w:rsidRPr="00EE288D" w:rsidRDefault="00E038E7" w:rsidP="00DA3280">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27 317 107 EUR.</w:t>
      </w:r>
    </w:p>
  </w:footnote>
  <w:footnote w:id="39">
    <w:p w:rsidR="00E038E7" w:rsidRDefault="00E038E7" w:rsidP="00DA3280">
      <w:pPr>
        <w:pStyle w:val="FootnoteText"/>
        <w:jc w:val="both"/>
      </w:pPr>
      <w:r>
        <w:rPr>
          <w:rStyle w:val="FootnoteReference"/>
        </w:rPr>
        <w:footnoteRef/>
      </w:r>
      <w:r>
        <w:t xml:space="preserve"> </w:t>
      </w:r>
      <w:r w:rsidRPr="000A0D24">
        <w:rPr>
          <w:sz w:val="18"/>
        </w:rPr>
        <w:t xml:space="preserve">Megjegyzendő, hogy a „tételes listában” 24%-os arányú azon szervezetek száma, hol a KKV-kód nincs kitöltve, így </w:t>
      </w:r>
      <w:proofErr w:type="gramStart"/>
      <w:r w:rsidRPr="000A0D24">
        <w:rPr>
          <w:sz w:val="18"/>
        </w:rPr>
        <w:t>ezen</w:t>
      </w:r>
      <w:proofErr w:type="gramEnd"/>
      <w:r w:rsidRPr="000A0D24">
        <w:rPr>
          <w:sz w:val="18"/>
        </w:rPr>
        <w:t xml:space="preserve"> vállalatok méretéről nincs érdemi információnk.</w:t>
      </w:r>
    </w:p>
  </w:footnote>
  <w:footnote w:id="40">
    <w:p w:rsidR="00E038E7" w:rsidRDefault="00E038E7" w:rsidP="00DA3280">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41">
    <w:p w:rsidR="00E038E7" w:rsidRPr="00EE288D" w:rsidRDefault="00E038E7" w:rsidP="00B031E3">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556 305 EUR.</w:t>
      </w:r>
    </w:p>
  </w:footnote>
  <w:footnote w:id="42">
    <w:p w:rsidR="00E038E7" w:rsidRPr="00EE288D" w:rsidRDefault="00E038E7" w:rsidP="00B031E3">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160 958 EUR.</w:t>
      </w:r>
    </w:p>
  </w:footnote>
  <w:footnote w:id="43">
    <w:p w:rsidR="00E038E7" w:rsidRDefault="00E038E7">
      <w:pPr>
        <w:pStyle w:val="FootnoteText"/>
      </w:pPr>
      <w:r>
        <w:rPr>
          <w:rStyle w:val="FootnoteReference"/>
        </w:rPr>
        <w:footnoteRef/>
      </w:r>
      <w:r>
        <w:t xml:space="preserve"> Az ÚMFT Környezetvédelmi Energetikai Operatív Program</w:t>
      </w:r>
    </w:p>
  </w:footnote>
  <w:footnote w:id="44">
    <w:p w:rsidR="00E038E7" w:rsidRDefault="00E038E7" w:rsidP="00B031E3">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45">
    <w:p w:rsidR="00E038E7" w:rsidRPr="00EE288D" w:rsidRDefault="00E038E7" w:rsidP="00B031E3">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53 907 135 EUR.</w:t>
      </w:r>
    </w:p>
  </w:footnote>
  <w:footnote w:id="46">
    <w:p w:rsidR="00E038E7" w:rsidRPr="00EE288D" w:rsidRDefault="00E038E7" w:rsidP="00B031E3">
      <w:pPr>
        <w:pStyle w:val="FootnoteText"/>
        <w:jc w:val="both"/>
        <w:rPr>
          <w:sz w:val="18"/>
          <w:szCs w:val="18"/>
        </w:rPr>
      </w:pPr>
      <w:r w:rsidRPr="00EE288D">
        <w:rPr>
          <w:rStyle w:val="FootnoteReference"/>
          <w:sz w:val="18"/>
          <w:szCs w:val="18"/>
        </w:rPr>
        <w:footnoteRef/>
      </w:r>
      <w:r w:rsidRPr="00EE288D">
        <w:rPr>
          <w:sz w:val="18"/>
          <w:szCs w:val="18"/>
        </w:rPr>
        <w:t xml:space="preserve"> 272,1 Ft/</w:t>
      </w:r>
      <w:r>
        <w:rPr>
          <w:sz w:val="18"/>
          <w:szCs w:val="18"/>
        </w:rPr>
        <w:t>EUR</w:t>
      </w:r>
      <w:r w:rsidRPr="00EE288D">
        <w:rPr>
          <w:sz w:val="18"/>
          <w:szCs w:val="18"/>
        </w:rPr>
        <w:t xml:space="preserve"> árfolyammal számolva ennek </w:t>
      </w:r>
      <w:r>
        <w:rPr>
          <w:sz w:val="18"/>
          <w:szCs w:val="18"/>
        </w:rPr>
        <w:t>EUR</w:t>
      </w:r>
      <w:r w:rsidRPr="00EE288D">
        <w:rPr>
          <w:sz w:val="18"/>
          <w:szCs w:val="18"/>
        </w:rPr>
        <w:t xml:space="preserve"> értéke </w:t>
      </w:r>
      <w:r>
        <w:rPr>
          <w:sz w:val="18"/>
          <w:szCs w:val="18"/>
        </w:rPr>
        <w:t>8 776 993 EUR.</w:t>
      </w:r>
    </w:p>
  </w:footnote>
  <w:footnote w:id="47">
    <w:p w:rsidR="00E038E7" w:rsidRDefault="00E038E7" w:rsidP="00B031E3">
      <w:pPr>
        <w:pStyle w:val="FootnoteText"/>
        <w:jc w:val="both"/>
      </w:pPr>
      <w:r>
        <w:rPr>
          <w:rStyle w:val="FootnoteReference"/>
        </w:rPr>
        <w:footnoteRef/>
      </w:r>
      <w:r>
        <w:t xml:space="preserve"> </w:t>
      </w:r>
      <w:r w:rsidRPr="00FD7AC4">
        <w:rPr>
          <w:sz w:val="18"/>
        </w:rPr>
        <w:t>Forrás: MVH Fejlesztési Főosztálytól 2010.09.17-én kapott költségszerkezeti adatok, valamint a Szervezési és Koo</w:t>
      </w:r>
      <w:r w:rsidRPr="00FD7AC4">
        <w:rPr>
          <w:sz w:val="18"/>
        </w:rPr>
        <w:t>r</w:t>
      </w:r>
      <w:r w:rsidRPr="00FD7AC4">
        <w:rPr>
          <w:sz w:val="18"/>
        </w:rPr>
        <w:t>dinációs Főosztálytól 2010.08.06-án kapott ún. „tételes lista” adatai. A költségszerkezeti arányokat a megítélt támog</w:t>
      </w:r>
      <w:r w:rsidRPr="00FD7AC4">
        <w:rPr>
          <w:sz w:val="18"/>
        </w:rPr>
        <w:t>a</w:t>
      </w:r>
      <w:r w:rsidRPr="00FD7AC4">
        <w:rPr>
          <w:sz w:val="18"/>
        </w:rPr>
        <w:t>tási összegekre vetítettük projektenként, majd ezek aggregálását végeztük el a teljes jogcímre.</w:t>
      </w:r>
    </w:p>
  </w:footnote>
  <w:footnote w:id="48">
    <w:p w:rsidR="00E038E7" w:rsidRDefault="00E038E7" w:rsidP="00B031E3">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49">
    <w:p w:rsidR="00E038E7" w:rsidRDefault="00E038E7" w:rsidP="00B031E3">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EE288D">
        <w:rPr>
          <w:sz w:val="18"/>
          <w:szCs w:val="18"/>
        </w:rPr>
        <w:t>282</w:t>
      </w:r>
      <w:r>
        <w:rPr>
          <w:sz w:val="18"/>
          <w:szCs w:val="18"/>
        </w:rPr>
        <w:t xml:space="preserve"> </w:t>
      </w:r>
      <w:r w:rsidRPr="00EE288D">
        <w:rPr>
          <w:sz w:val="18"/>
          <w:szCs w:val="18"/>
        </w:rPr>
        <w:t>193</w:t>
      </w:r>
      <w:r>
        <w:rPr>
          <w:sz w:val="18"/>
          <w:szCs w:val="18"/>
        </w:rPr>
        <w:t xml:space="preserve"> </w:t>
      </w:r>
      <w:r w:rsidRPr="00EE288D">
        <w:rPr>
          <w:sz w:val="18"/>
          <w:szCs w:val="18"/>
        </w:rPr>
        <w:t>016,</w:t>
      </w:r>
      <w:r>
        <w:rPr>
          <w:sz w:val="18"/>
          <w:szCs w:val="18"/>
        </w:rPr>
        <w:t>7 EUR</w:t>
      </w:r>
      <w:r w:rsidRPr="00212838">
        <w:rPr>
          <w:sz w:val="18"/>
        </w:rPr>
        <w:t>.</w:t>
      </w:r>
    </w:p>
  </w:footnote>
  <w:footnote w:id="50">
    <w:p w:rsidR="00E038E7" w:rsidRDefault="00E038E7" w:rsidP="00B031E3">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EE288D">
        <w:rPr>
          <w:sz w:val="18"/>
          <w:szCs w:val="18"/>
        </w:rPr>
        <w:t>240</w:t>
      </w:r>
      <w:r>
        <w:rPr>
          <w:sz w:val="18"/>
          <w:szCs w:val="18"/>
        </w:rPr>
        <w:t xml:space="preserve"> </w:t>
      </w:r>
      <w:r w:rsidRPr="00EE288D">
        <w:rPr>
          <w:sz w:val="18"/>
          <w:szCs w:val="18"/>
        </w:rPr>
        <w:t>811</w:t>
      </w:r>
      <w:r>
        <w:rPr>
          <w:sz w:val="18"/>
          <w:szCs w:val="18"/>
        </w:rPr>
        <w:t xml:space="preserve"> </w:t>
      </w:r>
      <w:r w:rsidRPr="00EE288D">
        <w:rPr>
          <w:sz w:val="18"/>
          <w:szCs w:val="18"/>
        </w:rPr>
        <w:t>963</w:t>
      </w:r>
      <w:r>
        <w:rPr>
          <w:sz w:val="18"/>
          <w:szCs w:val="18"/>
        </w:rPr>
        <w:t xml:space="preserve"> EUR</w:t>
      </w:r>
      <w:r w:rsidRPr="00212838">
        <w:rPr>
          <w:sz w:val="18"/>
        </w:rPr>
        <w:t>.</w:t>
      </w:r>
    </w:p>
  </w:footnote>
  <w:footnote w:id="51">
    <w:p w:rsidR="00E038E7" w:rsidRDefault="00E038E7" w:rsidP="00CB4D02">
      <w:pPr>
        <w:pStyle w:val="FootnoteText"/>
        <w:jc w:val="both"/>
      </w:pPr>
      <w:r>
        <w:rPr>
          <w:rStyle w:val="FootnoteReference"/>
        </w:rPr>
        <w:footnoteRef/>
      </w:r>
      <w:r>
        <w:t xml:space="preserve"> </w:t>
      </w:r>
      <w:r w:rsidRPr="00CB4D02">
        <w:rPr>
          <w:sz w:val="18"/>
        </w:rPr>
        <w:t>Forrás: MVH Szervezési és Koordinációs Főosztályától 2010.08.06-án kapott „tételes lista” adatai.</w:t>
      </w:r>
    </w:p>
  </w:footnote>
  <w:footnote w:id="52">
    <w:p w:rsidR="00E038E7" w:rsidRDefault="00E038E7" w:rsidP="00CB4D02">
      <w:pPr>
        <w:pStyle w:val="FootnoteText"/>
        <w:jc w:val="both"/>
      </w:pPr>
      <w:r>
        <w:rPr>
          <w:rStyle w:val="FootnoteReference"/>
        </w:rPr>
        <w:footnoteRef/>
      </w:r>
      <w:r>
        <w:t xml:space="preserve"> </w:t>
      </w:r>
      <w:r w:rsidRPr="00CB4D02">
        <w:rPr>
          <w:sz w:val="18"/>
        </w:rPr>
        <w:t>Forrás: MVH Szervezési és Koordinációs Főosztályától 2010.08.06-án kapott „tételes lista” adatai.</w:t>
      </w:r>
    </w:p>
  </w:footnote>
  <w:footnote w:id="53">
    <w:p w:rsidR="00E038E7" w:rsidRDefault="00E038E7" w:rsidP="005E718B">
      <w:pPr>
        <w:pStyle w:val="FootnoteText"/>
        <w:jc w:val="both"/>
      </w:pPr>
      <w:r>
        <w:rPr>
          <w:rStyle w:val="FootnoteReference"/>
        </w:rPr>
        <w:footnoteRef/>
      </w:r>
      <w:r>
        <w:t xml:space="preserve"> </w:t>
      </w:r>
      <w:r w:rsidRPr="005E718B">
        <w:rPr>
          <w:sz w:val="18"/>
        </w:rPr>
        <w:t>Forrás: MVH Szervezési és Koordinációs Főosztályától 2010.08.11-én kapott e-monitoring adatszolgáltatás adatai.</w:t>
      </w:r>
    </w:p>
  </w:footnote>
  <w:footnote w:id="54">
    <w:p w:rsidR="00E038E7" w:rsidRDefault="00E038E7" w:rsidP="00850CF8">
      <w:pPr>
        <w:pStyle w:val="FootnoteText"/>
        <w:jc w:val="both"/>
      </w:pPr>
      <w:r>
        <w:rPr>
          <w:rStyle w:val="FootnoteReference"/>
        </w:rPr>
        <w:footnoteRef/>
      </w:r>
      <w:r>
        <w:t xml:space="preserve"> </w:t>
      </w:r>
      <w:r w:rsidRPr="00850CF8">
        <w:rPr>
          <w:sz w:val="18"/>
        </w:rPr>
        <w:t>A közepes vállalkozáso</w:t>
      </w:r>
      <w:r>
        <w:rPr>
          <w:sz w:val="18"/>
        </w:rPr>
        <w:t>k</w:t>
      </w:r>
      <w:r w:rsidRPr="00850CF8">
        <w:rPr>
          <w:sz w:val="18"/>
        </w:rPr>
        <w:t xml:space="preserve"> részaránya 30,48%, míg a nagyvállalatoké 14,65%.</w:t>
      </w:r>
      <w:r>
        <w:rPr>
          <w:sz w:val="18"/>
        </w:rPr>
        <w:t xml:space="preserve"> Ez a tipizálás nem az SFH értékek ala</w:t>
      </w:r>
      <w:r>
        <w:rPr>
          <w:sz w:val="18"/>
        </w:rPr>
        <w:t>p</w:t>
      </w:r>
      <w:r>
        <w:rPr>
          <w:sz w:val="18"/>
        </w:rPr>
        <w:t xml:space="preserve">ján készült, hanem az </w:t>
      </w:r>
      <w:proofErr w:type="spellStart"/>
      <w:r>
        <w:rPr>
          <w:sz w:val="18"/>
        </w:rPr>
        <w:t>IIER-ben</w:t>
      </w:r>
      <w:proofErr w:type="spellEnd"/>
      <w:r>
        <w:rPr>
          <w:sz w:val="18"/>
        </w:rPr>
        <w:t xml:space="preserve"> szereplő KKV-kódok szerinti bontás alapján.</w:t>
      </w:r>
    </w:p>
  </w:footnote>
  <w:footnote w:id="55">
    <w:p w:rsidR="00E038E7" w:rsidRDefault="00E038E7" w:rsidP="00044E7F">
      <w:pPr>
        <w:pStyle w:val="FootnoteText"/>
        <w:jc w:val="both"/>
      </w:pPr>
      <w:r>
        <w:rPr>
          <w:rStyle w:val="FootnoteReference"/>
        </w:rPr>
        <w:footnoteRef/>
      </w:r>
      <w:r>
        <w:t xml:space="preserve"> </w:t>
      </w:r>
      <w:r w:rsidRPr="00044E7F">
        <w:rPr>
          <w:sz w:val="18"/>
        </w:rPr>
        <w:t>Megjegyzendő, hogy nem az elszámolható költséggel számoltunk, hanem a költségszerkezeti arányokkal kalkulált megítélt támogatási összegekkel!</w:t>
      </w:r>
    </w:p>
  </w:footnote>
  <w:footnote w:id="56">
    <w:p w:rsidR="00E038E7" w:rsidRDefault="00E038E7" w:rsidP="00C53354">
      <w:pPr>
        <w:pStyle w:val="FootnoteText"/>
        <w:jc w:val="both"/>
      </w:pPr>
      <w:r>
        <w:rPr>
          <w:rStyle w:val="FootnoteReference"/>
        </w:rPr>
        <w:footnoteRef/>
      </w:r>
      <w:r>
        <w:t xml:space="preserve"> </w:t>
      </w:r>
      <w:r w:rsidRPr="00C14C47">
        <w:rPr>
          <w:sz w:val="18"/>
        </w:rPr>
        <w:t xml:space="preserve">Azon lezárt ügyek száma, ahol értékelhető az </w:t>
      </w:r>
      <w:proofErr w:type="spellStart"/>
      <w:r w:rsidRPr="00C14C47">
        <w:rPr>
          <w:sz w:val="18"/>
        </w:rPr>
        <w:t>alfolyamat</w:t>
      </w:r>
      <w:proofErr w:type="spellEnd"/>
      <w:r w:rsidRPr="00C14C47">
        <w:rPr>
          <w:sz w:val="18"/>
        </w:rPr>
        <w:t>: 4634 db. Az átlagos teljes átfutási idő a főátlagához képest kedvezőbb, 73 naptári nap.</w:t>
      </w:r>
    </w:p>
  </w:footnote>
  <w:footnote w:id="57">
    <w:p w:rsidR="00E038E7" w:rsidRPr="005844A8" w:rsidRDefault="00E038E7">
      <w:pPr>
        <w:pStyle w:val="FootnoteText"/>
        <w:rPr>
          <w:sz w:val="16"/>
          <w:szCs w:val="16"/>
        </w:rPr>
      </w:pPr>
      <w:r w:rsidRPr="005844A8">
        <w:rPr>
          <w:rStyle w:val="FootnoteReference"/>
          <w:sz w:val="16"/>
          <w:szCs w:val="16"/>
        </w:rPr>
        <w:footnoteRef/>
      </w:r>
      <w:r w:rsidRPr="005844A8">
        <w:rPr>
          <w:sz w:val="16"/>
          <w:szCs w:val="16"/>
        </w:rPr>
        <w:t xml:space="preserve"> Amennyiben a két jogcímben támogatottak számából levonjuk a nem szántóföldi növénytermesztéssel foglalkozó támogatott gazd</w:t>
      </w:r>
      <w:r w:rsidRPr="005844A8">
        <w:rPr>
          <w:sz w:val="16"/>
          <w:szCs w:val="16"/>
        </w:rPr>
        <w:t>a</w:t>
      </w:r>
      <w:r w:rsidRPr="005844A8">
        <w:rPr>
          <w:sz w:val="16"/>
          <w:szCs w:val="16"/>
        </w:rPr>
        <w:t>ságok számát.</w:t>
      </w:r>
    </w:p>
  </w:footnote>
  <w:footnote w:id="58">
    <w:p w:rsidR="00E038E7" w:rsidRDefault="00E038E7" w:rsidP="007415A7">
      <w:pPr>
        <w:pStyle w:val="FootnoteText"/>
        <w:jc w:val="both"/>
      </w:pPr>
      <w:r>
        <w:rPr>
          <w:rStyle w:val="FootnoteReference"/>
        </w:rPr>
        <w:footnoteRef/>
      </w:r>
      <w:r>
        <w:t xml:space="preserve"> </w:t>
      </w:r>
      <w:r w:rsidRPr="007415A7">
        <w:rPr>
          <w:sz w:val="18"/>
        </w:rPr>
        <w:t>További értékek: kis</w:t>
      </w:r>
      <w:r>
        <w:rPr>
          <w:sz w:val="18"/>
        </w:rPr>
        <w:t xml:space="preserve"> </w:t>
      </w:r>
      <w:r w:rsidRPr="007415A7">
        <w:rPr>
          <w:sz w:val="18"/>
        </w:rPr>
        <w:t>gazd</w:t>
      </w:r>
      <w:r>
        <w:rPr>
          <w:sz w:val="18"/>
        </w:rPr>
        <w:t>álkodó</w:t>
      </w:r>
      <w:r w:rsidRPr="007415A7">
        <w:rPr>
          <w:sz w:val="18"/>
        </w:rPr>
        <w:t xml:space="preserve"> – 10,4; középgazd</w:t>
      </w:r>
      <w:r>
        <w:rPr>
          <w:sz w:val="18"/>
        </w:rPr>
        <w:t>álkodó</w:t>
      </w:r>
      <w:r w:rsidRPr="007415A7">
        <w:rPr>
          <w:sz w:val="18"/>
        </w:rPr>
        <w:t xml:space="preserve"> – 13,1.</w:t>
      </w:r>
    </w:p>
  </w:footnote>
  <w:footnote w:id="59">
    <w:p w:rsidR="00E038E7" w:rsidRDefault="00E038E7" w:rsidP="008D1055">
      <w:pPr>
        <w:pStyle w:val="FootnoteText"/>
      </w:pPr>
      <w:r>
        <w:rPr>
          <w:rStyle w:val="FootnoteReference"/>
        </w:rPr>
        <w:footnoteRef/>
      </w:r>
      <w:r>
        <w:t xml:space="preserve"> </w:t>
      </w:r>
      <w:r w:rsidRPr="00EE49B3">
        <w:rPr>
          <w:sz w:val="18"/>
        </w:rPr>
        <w:t xml:space="preserve">Az IIER nem tartalmazott </w:t>
      </w:r>
      <w:proofErr w:type="gramStart"/>
      <w:r w:rsidRPr="00EE49B3">
        <w:rPr>
          <w:sz w:val="18"/>
        </w:rPr>
        <w:t>ezen</w:t>
      </w:r>
      <w:proofErr w:type="gramEnd"/>
      <w:r w:rsidRPr="00EE49B3">
        <w:rPr>
          <w:sz w:val="18"/>
        </w:rPr>
        <w:t xml:space="preserve"> kedvezményezettekhez SFH értéket.</w:t>
      </w:r>
    </w:p>
  </w:footnote>
  <w:footnote w:id="60">
    <w:p w:rsidR="00E038E7" w:rsidRPr="00256D95" w:rsidRDefault="00E038E7" w:rsidP="00231100">
      <w:pPr>
        <w:pStyle w:val="FootnoteText"/>
        <w:jc w:val="both"/>
        <w:rPr>
          <w:sz w:val="18"/>
          <w:szCs w:val="18"/>
        </w:rPr>
      </w:pPr>
      <w:r w:rsidRPr="00256D95">
        <w:rPr>
          <w:rStyle w:val="FootnoteReference"/>
          <w:sz w:val="18"/>
          <w:szCs w:val="18"/>
        </w:rPr>
        <w:footnoteRef/>
      </w:r>
      <w:r w:rsidRPr="00256D95">
        <w:rPr>
          <w:sz w:val="18"/>
          <w:szCs w:val="18"/>
        </w:rPr>
        <w:t xml:space="preserve"> Csak azon jogcímeknél tudtuk ezt megadni, ahol a költségszerkezeti táblák tartalmazták a gépek származási helyét is.</w:t>
      </w:r>
    </w:p>
  </w:footnote>
  <w:footnote w:id="61">
    <w:p w:rsidR="00E038E7" w:rsidRDefault="00E038E7" w:rsidP="00E42ED0">
      <w:pPr>
        <w:pStyle w:val="FootnoteText"/>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62">
    <w:p w:rsidR="00E038E7" w:rsidRDefault="00E038E7" w:rsidP="00E42ED0">
      <w:pPr>
        <w:pStyle w:val="FootnoteText"/>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2C686D">
        <w:rPr>
          <w:sz w:val="18"/>
          <w:szCs w:val="18"/>
        </w:rPr>
        <w:t>779</w:t>
      </w:r>
      <w:r>
        <w:rPr>
          <w:sz w:val="18"/>
          <w:szCs w:val="18"/>
        </w:rPr>
        <w:t xml:space="preserve"> </w:t>
      </w:r>
      <w:r w:rsidRPr="002C686D">
        <w:rPr>
          <w:sz w:val="18"/>
          <w:szCs w:val="18"/>
        </w:rPr>
        <w:t>279</w:t>
      </w:r>
      <w:r>
        <w:rPr>
          <w:sz w:val="18"/>
          <w:szCs w:val="18"/>
        </w:rPr>
        <w:t xml:space="preserve"> </w:t>
      </w:r>
      <w:r w:rsidRPr="002C686D">
        <w:rPr>
          <w:sz w:val="18"/>
          <w:szCs w:val="18"/>
        </w:rPr>
        <w:t>778,</w:t>
      </w:r>
      <w:r>
        <w:rPr>
          <w:sz w:val="18"/>
          <w:szCs w:val="18"/>
        </w:rPr>
        <w:t>7 EUR</w:t>
      </w:r>
      <w:r w:rsidRPr="00212838">
        <w:rPr>
          <w:sz w:val="18"/>
        </w:rPr>
        <w:t>.</w:t>
      </w:r>
    </w:p>
  </w:footnote>
  <w:footnote w:id="63">
    <w:p w:rsidR="00E038E7" w:rsidRDefault="00E038E7" w:rsidP="00E42ED0">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EE288D">
        <w:rPr>
          <w:sz w:val="18"/>
          <w:szCs w:val="18"/>
        </w:rPr>
        <w:t>240</w:t>
      </w:r>
      <w:r>
        <w:rPr>
          <w:sz w:val="18"/>
          <w:szCs w:val="18"/>
        </w:rPr>
        <w:t xml:space="preserve"> </w:t>
      </w:r>
      <w:r w:rsidRPr="00EE288D">
        <w:rPr>
          <w:sz w:val="18"/>
          <w:szCs w:val="18"/>
        </w:rPr>
        <w:t>811</w:t>
      </w:r>
      <w:r>
        <w:rPr>
          <w:sz w:val="18"/>
          <w:szCs w:val="18"/>
        </w:rPr>
        <w:t xml:space="preserve"> </w:t>
      </w:r>
      <w:r w:rsidRPr="00EE288D">
        <w:rPr>
          <w:sz w:val="18"/>
          <w:szCs w:val="18"/>
        </w:rPr>
        <w:t>963</w:t>
      </w:r>
      <w:r>
        <w:rPr>
          <w:sz w:val="18"/>
          <w:szCs w:val="18"/>
        </w:rPr>
        <w:t xml:space="preserve"> EUR.</w:t>
      </w:r>
    </w:p>
  </w:footnote>
  <w:footnote w:id="64">
    <w:p w:rsidR="00E038E7" w:rsidRDefault="00E038E7" w:rsidP="006573C2">
      <w:pPr>
        <w:pStyle w:val="FootnoteText"/>
        <w:jc w:val="both"/>
      </w:pPr>
      <w:r>
        <w:rPr>
          <w:rStyle w:val="FootnoteReference"/>
        </w:rPr>
        <w:footnoteRef/>
      </w:r>
      <w:r>
        <w:t xml:space="preserve"> </w:t>
      </w:r>
      <w:r w:rsidRPr="00CB4D02">
        <w:rPr>
          <w:sz w:val="18"/>
        </w:rPr>
        <w:t>Forrás: MVH Szervezési és Koordinációs Főosztályától 2010.08.06-án kapott „tételes lista” adatai.</w:t>
      </w:r>
    </w:p>
  </w:footnote>
  <w:footnote w:id="65">
    <w:p w:rsidR="00E038E7" w:rsidRDefault="00E038E7" w:rsidP="006573C2">
      <w:pPr>
        <w:pStyle w:val="FootnoteText"/>
        <w:jc w:val="both"/>
      </w:pPr>
      <w:r>
        <w:rPr>
          <w:rStyle w:val="FootnoteReference"/>
        </w:rPr>
        <w:footnoteRef/>
      </w:r>
      <w:r>
        <w:t xml:space="preserve"> </w:t>
      </w:r>
      <w:r w:rsidRPr="00CB4D02">
        <w:rPr>
          <w:sz w:val="18"/>
        </w:rPr>
        <w:t>Forrás: MVH Szervezési és Koordinációs Főosztályától 2010.08.06-án kapott „tételes lista” adatai.</w:t>
      </w:r>
    </w:p>
  </w:footnote>
  <w:footnote w:id="66">
    <w:p w:rsidR="00E038E7" w:rsidRDefault="00E038E7" w:rsidP="006573C2">
      <w:pPr>
        <w:pStyle w:val="FootnoteText"/>
        <w:jc w:val="both"/>
      </w:pPr>
      <w:r>
        <w:rPr>
          <w:rStyle w:val="FootnoteReference"/>
        </w:rPr>
        <w:footnoteRef/>
      </w:r>
      <w:r>
        <w:t xml:space="preserve"> </w:t>
      </w:r>
      <w:r w:rsidRPr="005E718B">
        <w:rPr>
          <w:sz w:val="18"/>
        </w:rPr>
        <w:t>Forrás: MVH Szervezési és Koordinációs Főosztályától 2010.08.11-én kapott e-monitoring adatszolgáltatás adatai.</w:t>
      </w:r>
    </w:p>
  </w:footnote>
  <w:footnote w:id="67">
    <w:p w:rsidR="00E038E7" w:rsidRDefault="00E038E7" w:rsidP="006E5DAB">
      <w:pPr>
        <w:pStyle w:val="FootnoteText"/>
        <w:jc w:val="both"/>
      </w:pPr>
      <w:r>
        <w:rPr>
          <w:rStyle w:val="FootnoteReference"/>
        </w:rPr>
        <w:footnoteRef/>
      </w:r>
      <w:r>
        <w:t xml:space="preserve"> </w:t>
      </w:r>
      <w:r w:rsidRPr="006E5DAB">
        <w:rPr>
          <w:sz w:val="18"/>
        </w:rPr>
        <w:t xml:space="preserve">Megjegyzendő, hogy az </w:t>
      </w:r>
      <w:proofErr w:type="spellStart"/>
      <w:r w:rsidRPr="006E5DAB">
        <w:rPr>
          <w:sz w:val="18"/>
        </w:rPr>
        <w:t>IIER-ben</w:t>
      </w:r>
      <w:proofErr w:type="spellEnd"/>
      <w:r w:rsidRPr="006E5DAB">
        <w:rPr>
          <w:sz w:val="18"/>
        </w:rPr>
        <w:t xml:space="preserve"> a támogatási kérelmek 29,89%-ánál nincs megjelölve KKV-kód!</w:t>
      </w:r>
    </w:p>
  </w:footnote>
  <w:footnote w:id="68">
    <w:p w:rsidR="00E038E7" w:rsidRDefault="00E038E7" w:rsidP="00347933">
      <w:pPr>
        <w:pStyle w:val="FootnoteText"/>
        <w:jc w:val="both"/>
      </w:pPr>
      <w:r>
        <w:rPr>
          <w:rStyle w:val="FootnoteReference"/>
        </w:rPr>
        <w:footnoteRef/>
      </w:r>
      <w:r>
        <w:t xml:space="preserve"> </w:t>
      </w:r>
      <w:r w:rsidRPr="00347933">
        <w:rPr>
          <w:sz w:val="18"/>
        </w:rPr>
        <w:t>ÁTK III. jogcímben még nem voltak megítélt támogatások az értékelés készítésekor.</w:t>
      </w:r>
    </w:p>
  </w:footnote>
  <w:footnote w:id="69">
    <w:p w:rsidR="00E038E7" w:rsidRPr="007D0AF8" w:rsidRDefault="00E038E7" w:rsidP="00E740B1">
      <w:pPr>
        <w:pStyle w:val="FootnoteText"/>
        <w:jc w:val="both"/>
        <w:rPr>
          <w:sz w:val="18"/>
          <w:szCs w:val="18"/>
        </w:rPr>
      </w:pPr>
      <w:r w:rsidRPr="007D0AF8">
        <w:rPr>
          <w:rStyle w:val="FootnoteReference"/>
          <w:sz w:val="18"/>
          <w:szCs w:val="18"/>
        </w:rPr>
        <w:footnoteRef/>
      </w:r>
      <w:r w:rsidRPr="007D0AF8">
        <w:rPr>
          <w:sz w:val="18"/>
          <w:szCs w:val="18"/>
        </w:rPr>
        <w:t xml:space="preserve"> 314/2005. (XII. 25.) Korm. rendelet, 2 melléklet szerinti definíció: Létesítmények intenzív baromfi- vagy sertéstenyés</w:t>
      </w:r>
      <w:r w:rsidRPr="007D0AF8">
        <w:rPr>
          <w:sz w:val="18"/>
          <w:szCs w:val="18"/>
        </w:rPr>
        <w:t>z</w:t>
      </w:r>
      <w:r w:rsidRPr="007D0AF8">
        <w:rPr>
          <w:sz w:val="18"/>
          <w:szCs w:val="18"/>
        </w:rPr>
        <w:t>tésre, több mint a) 40 000 férőhely baromfi számára, b) 2000 férőhely (30 kg-on felüli) sertések számára, c) 750 fér</w:t>
      </w:r>
      <w:r w:rsidRPr="007D0AF8">
        <w:rPr>
          <w:sz w:val="18"/>
          <w:szCs w:val="18"/>
        </w:rPr>
        <w:t>ő</w:t>
      </w:r>
      <w:r w:rsidRPr="007D0AF8">
        <w:rPr>
          <w:sz w:val="18"/>
          <w:szCs w:val="18"/>
        </w:rPr>
        <w:t>hely kocák számára.</w:t>
      </w:r>
    </w:p>
  </w:footnote>
  <w:footnote w:id="70">
    <w:p w:rsidR="00E038E7" w:rsidRDefault="00E038E7" w:rsidP="00A93641">
      <w:pPr>
        <w:pStyle w:val="FootnoteText"/>
        <w:jc w:val="both"/>
      </w:pPr>
      <w:r>
        <w:rPr>
          <w:rStyle w:val="FootnoteReference"/>
        </w:rPr>
        <w:footnoteRef/>
      </w:r>
      <w:r>
        <w:t xml:space="preserve"> </w:t>
      </w:r>
      <w:r w:rsidRPr="00EE49B3">
        <w:rPr>
          <w:sz w:val="18"/>
        </w:rPr>
        <w:t xml:space="preserve">Az IIER nem tartalmazott </w:t>
      </w:r>
      <w:proofErr w:type="gramStart"/>
      <w:r w:rsidRPr="00EE49B3">
        <w:rPr>
          <w:sz w:val="18"/>
        </w:rPr>
        <w:t>ezen</w:t>
      </w:r>
      <w:proofErr w:type="gramEnd"/>
      <w:r w:rsidRPr="00EE49B3">
        <w:rPr>
          <w:sz w:val="18"/>
        </w:rPr>
        <w:t xml:space="preserve"> kedvezményezettekhez SFH értéket.</w:t>
      </w:r>
    </w:p>
  </w:footnote>
  <w:footnote w:id="71">
    <w:p w:rsidR="00E038E7" w:rsidRDefault="00E038E7" w:rsidP="007A3F98">
      <w:pPr>
        <w:pStyle w:val="FootnoteText"/>
      </w:pPr>
      <w:r w:rsidRPr="007D0AF8">
        <w:rPr>
          <w:rStyle w:val="FootnoteReference"/>
          <w:sz w:val="18"/>
          <w:szCs w:val="18"/>
        </w:rPr>
        <w:footnoteRef/>
      </w:r>
      <w:r w:rsidRPr="007D0AF8">
        <w:rPr>
          <w:sz w:val="18"/>
          <w:szCs w:val="18"/>
        </w:rPr>
        <w:t xml:space="preserve"> Forrás: MVH Szervezési és Koordinációs Főosztály 2010.08.06-án átadott ún. </w:t>
      </w:r>
      <w:proofErr w:type="gramStart"/>
      <w:r w:rsidRPr="007D0AF8">
        <w:rPr>
          <w:sz w:val="18"/>
          <w:szCs w:val="18"/>
        </w:rPr>
        <w:t>tételes</w:t>
      </w:r>
      <w:proofErr w:type="gramEnd"/>
      <w:r w:rsidRPr="007D0AF8">
        <w:rPr>
          <w:sz w:val="18"/>
          <w:szCs w:val="18"/>
        </w:rPr>
        <w:t xml:space="preserve"> lista alapján. Az adatbázis az IIER 2010.06.30-i adatállományát tartalmazta.</w:t>
      </w:r>
    </w:p>
  </w:footnote>
  <w:footnote w:id="72">
    <w:p w:rsidR="00E038E7" w:rsidRDefault="00E038E7" w:rsidP="007A3F98">
      <w:pPr>
        <w:pStyle w:val="FootnoteText"/>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szCs w:val="18"/>
        </w:rPr>
        <w:t>1 790 141 EUR</w:t>
      </w:r>
      <w:r w:rsidRPr="00212838">
        <w:rPr>
          <w:sz w:val="18"/>
        </w:rPr>
        <w:t>.</w:t>
      </w:r>
    </w:p>
  </w:footnote>
  <w:footnote w:id="73">
    <w:p w:rsidR="00E038E7" w:rsidRDefault="00E038E7" w:rsidP="007A3F98">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szCs w:val="18"/>
        </w:rPr>
        <w:t>380 533 EUR</w:t>
      </w:r>
      <w:r w:rsidRPr="00212838">
        <w:rPr>
          <w:sz w:val="18"/>
        </w:rPr>
        <w:t>.</w:t>
      </w:r>
    </w:p>
  </w:footnote>
  <w:footnote w:id="74">
    <w:p w:rsidR="00E038E7" w:rsidRDefault="00E038E7" w:rsidP="006A7483">
      <w:pPr>
        <w:pStyle w:val="FootnoteText"/>
        <w:jc w:val="both"/>
      </w:pPr>
      <w:r>
        <w:rPr>
          <w:rStyle w:val="FootnoteReference"/>
        </w:rPr>
        <w:footnoteRef/>
      </w:r>
      <w:r>
        <w:t xml:space="preserve"> </w:t>
      </w:r>
      <w:r w:rsidRPr="006A7483">
        <w:rPr>
          <w:sz w:val="18"/>
        </w:rPr>
        <w:t xml:space="preserve">Az </w:t>
      </w:r>
      <w:proofErr w:type="spellStart"/>
      <w:r w:rsidRPr="006A7483">
        <w:rPr>
          <w:sz w:val="18"/>
        </w:rPr>
        <w:t>IIER-ben</w:t>
      </w:r>
      <w:proofErr w:type="spellEnd"/>
      <w:r w:rsidRPr="006A7483">
        <w:rPr>
          <w:sz w:val="18"/>
        </w:rPr>
        <w:t xml:space="preserve"> található adatok alapján összesen 2847,</w:t>
      </w:r>
      <w:proofErr w:type="gramStart"/>
      <w:r w:rsidRPr="006A7483">
        <w:rPr>
          <w:sz w:val="18"/>
        </w:rPr>
        <w:t>32</w:t>
      </w:r>
      <w:proofErr w:type="gramEnd"/>
      <w:r w:rsidRPr="006A7483">
        <w:rPr>
          <w:sz w:val="18"/>
        </w:rPr>
        <w:t xml:space="preserve"> ha területre ítéltek meg támogatást. A következő kultúrák kaptak forrást: energianyár (ENE03) – 1359,76 ha; energiafű (EFU01) – 569,27 ha; energiafűz (ENE05) – 304,31 ha; energiaakác (ENE02) – 299,84 ha; energiafűz (ENE01) – 166,45 ha; energia </w:t>
      </w:r>
      <w:proofErr w:type="spellStart"/>
      <w:r w:rsidRPr="006A7483">
        <w:rPr>
          <w:sz w:val="18"/>
        </w:rPr>
        <w:t>Miscanthus</w:t>
      </w:r>
      <w:proofErr w:type="spellEnd"/>
      <w:r w:rsidRPr="006A7483">
        <w:rPr>
          <w:sz w:val="18"/>
        </w:rPr>
        <w:t xml:space="preserve"> (EMI01) – 147,69 ha.</w:t>
      </w:r>
    </w:p>
  </w:footnote>
  <w:footnote w:id="75">
    <w:p w:rsidR="00E038E7" w:rsidRDefault="00E038E7" w:rsidP="0060734B">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76">
    <w:p w:rsidR="00E038E7" w:rsidRDefault="00E038E7" w:rsidP="0060734B">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1C1B8B">
        <w:rPr>
          <w:sz w:val="18"/>
        </w:rPr>
        <w:t>7</w:t>
      </w:r>
      <w:r>
        <w:rPr>
          <w:sz w:val="18"/>
        </w:rPr>
        <w:t xml:space="preserve"> </w:t>
      </w:r>
      <w:r w:rsidRPr="001C1B8B">
        <w:rPr>
          <w:sz w:val="18"/>
        </w:rPr>
        <w:t>148</w:t>
      </w:r>
      <w:r>
        <w:rPr>
          <w:sz w:val="18"/>
        </w:rPr>
        <w:t xml:space="preserve"> </w:t>
      </w:r>
      <w:r w:rsidRPr="001C1B8B">
        <w:rPr>
          <w:sz w:val="18"/>
        </w:rPr>
        <w:t>526,1</w:t>
      </w:r>
      <w:r>
        <w:rPr>
          <w:sz w:val="18"/>
        </w:rPr>
        <w:t xml:space="preserve"> EUR</w:t>
      </w:r>
      <w:r w:rsidRPr="00212838">
        <w:rPr>
          <w:sz w:val="18"/>
        </w:rPr>
        <w:t>.</w:t>
      </w:r>
    </w:p>
  </w:footnote>
  <w:footnote w:id="77">
    <w:p w:rsidR="00E038E7" w:rsidRDefault="00E038E7" w:rsidP="0060734B">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rPr>
        <w:t>2 457 397 EUR</w:t>
      </w:r>
      <w:r w:rsidRPr="00212838">
        <w:rPr>
          <w:sz w:val="18"/>
        </w:rPr>
        <w:t>.</w:t>
      </w:r>
    </w:p>
  </w:footnote>
  <w:footnote w:id="78">
    <w:p w:rsidR="00E038E7" w:rsidRDefault="00E038E7" w:rsidP="00AA22FF">
      <w:pPr>
        <w:pStyle w:val="FootnoteText"/>
        <w:jc w:val="both"/>
      </w:pPr>
      <w:r>
        <w:rPr>
          <w:rStyle w:val="FootnoteReference"/>
        </w:rPr>
        <w:footnoteRef/>
      </w:r>
      <w:r>
        <w:t xml:space="preserve"> </w:t>
      </w:r>
      <w:r w:rsidRPr="00A45D40">
        <w:rPr>
          <w:sz w:val="18"/>
        </w:rPr>
        <w:t>Forrás: MVH Szervezési és Koordinációs Főosztálytól 2010.10.19-én kapott adatok alapján (</w:t>
      </w:r>
      <w:proofErr w:type="gramStart"/>
      <w:r w:rsidRPr="00A45D40">
        <w:rPr>
          <w:i/>
          <w:sz w:val="18"/>
        </w:rPr>
        <w:t>állomány azonosító</w:t>
      </w:r>
      <w:proofErr w:type="gramEnd"/>
      <w:r w:rsidRPr="00A45D40">
        <w:rPr>
          <w:i/>
          <w:sz w:val="18"/>
        </w:rPr>
        <w:t>: ü</w:t>
      </w:r>
      <w:r w:rsidRPr="00A45D40">
        <w:rPr>
          <w:i/>
          <w:sz w:val="18"/>
        </w:rPr>
        <w:t>l</w:t>
      </w:r>
      <w:r w:rsidRPr="00A45D40">
        <w:rPr>
          <w:i/>
          <w:sz w:val="18"/>
        </w:rPr>
        <w:t>tetvény.xls</w:t>
      </w:r>
      <w:r w:rsidRPr="00A45D40">
        <w:rPr>
          <w:sz w:val="18"/>
        </w:rPr>
        <w:t>).</w:t>
      </w:r>
    </w:p>
  </w:footnote>
  <w:footnote w:id="79">
    <w:p w:rsidR="00E038E7" w:rsidRDefault="00E038E7" w:rsidP="00FC4461">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80">
    <w:p w:rsidR="00E038E7" w:rsidRDefault="00E038E7" w:rsidP="00FC4461">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rPr>
        <w:t>16 855 685 EUR</w:t>
      </w:r>
      <w:r w:rsidRPr="00212838">
        <w:rPr>
          <w:sz w:val="18"/>
        </w:rPr>
        <w:t>.</w:t>
      </w:r>
    </w:p>
  </w:footnote>
  <w:footnote w:id="81">
    <w:p w:rsidR="00E038E7" w:rsidRDefault="00E038E7" w:rsidP="00FC4461">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forint értéke </w:t>
      </w:r>
      <w:r w:rsidRPr="003F1CF7">
        <w:rPr>
          <w:sz w:val="18"/>
        </w:rPr>
        <w:t>1</w:t>
      </w:r>
      <w:r>
        <w:rPr>
          <w:sz w:val="18"/>
        </w:rPr>
        <w:t> </w:t>
      </w:r>
      <w:r w:rsidRPr="003F1CF7">
        <w:rPr>
          <w:sz w:val="18"/>
        </w:rPr>
        <w:t>734</w:t>
      </w:r>
      <w:r>
        <w:rPr>
          <w:sz w:val="18"/>
        </w:rPr>
        <w:t xml:space="preserve"> </w:t>
      </w:r>
      <w:r w:rsidRPr="003F1CF7">
        <w:rPr>
          <w:sz w:val="18"/>
        </w:rPr>
        <w:t>828</w:t>
      </w:r>
      <w:r>
        <w:rPr>
          <w:sz w:val="18"/>
        </w:rPr>
        <w:t xml:space="preserve"> </w:t>
      </w:r>
      <w:r w:rsidRPr="003F1CF7">
        <w:rPr>
          <w:sz w:val="18"/>
        </w:rPr>
        <w:t>786,3</w:t>
      </w:r>
      <w:r>
        <w:rPr>
          <w:sz w:val="18"/>
        </w:rPr>
        <w:t xml:space="preserve"> Ft</w:t>
      </w:r>
    </w:p>
  </w:footnote>
  <w:footnote w:id="82">
    <w:p w:rsidR="00E038E7" w:rsidRDefault="00E038E7" w:rsidP="00394B16">
      <w:pPr>
        <w:pStyle w:val="FootnoteText"/>
        <w:jc w:val="both"/>
      </w:pPr>
      <w:r>
        <w:rPr>
          <w:rStyle w:val="FootnoteReference"/>
        </w:rPr>
        <w:footnoteRef/>
      </w:r>
      <w:r>
        <w:t xml:space="preserve"> </w:t>
      </w:r>
      <w:r w:rsidRPr="00394B16">
        <w:rPr>
          <w:sz w:val="18"/>
        </w:rPr>
        <w:t xml:space="preserve">Forrás: </w:t>
      </w:r>
      <w:proofErr w:type="spellStart"/>
      <w:r>
        <w:rPr>
          <w:sz w:val="18"/>
        </w:rPr>
        <w:t>MgSzH</w:t>
      </w:r>
      <w:proofErr w:type="spellEnd"/>
      <w:r w:rsidRPr="00394B16">
        <w:rPr>
          <w:sz w:val="18"/>
        </w:rPr>
        <w:t xml:space="preserve"> ESZIR Adattár</w:t>
      </w:r>
      <w:r>
        <w:rPr>
          <w:sz w:val="18"/>
        </w:rPr>
        <w:t>.</w:t>
      </w:r>
    </w:p>
  </w:footnote>
  <w:footnote w:id="83">
    <w:p w:rsidR="00E038E7" w:rsidRDefault="00E038E7" w:rsidP="00D67305">
      <w:pPr>
        <w:pStyle w:val="FootnoteText"/>
        <w:jc w:val="both"/>
      </w:pPr>
      <w:r>
        <w:rPr>
          <w:rStyle w:val="FootnoteReference"/>
        </w:rPr>
        <w:footnoteRef/>
      </w:r>
      <w:r>
        <w:t xml:space="preserve"> </w:t>
      </w:r>
      <w:r w:rsidRPr="0001173D">
        <w:rPr>
          <w:sz w:val="18"/>
        </w:rPr>
        <w:t>Az értékelés során végzett mélyinterjúk alapján.</w:t>
      </w:r>
    </w:p>
  </w:footnote>
  <w:footnote w:id="84">
    <w:p w:rsidR="00E038E7" w:rsidRDefault="00E038E7" w:rsidP="00C94E11">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85">
    <w:p w:rsidR="00E038E7" w:rsidRDefault="00E038E7" w:rsidP="00C94E11">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sidRPr="00BC372F">
        <w:rPr>
          <w:sz w:val="18"/>
        </w:rPr>
        <w:t>288</w:t>
      </w:r>
      <w:r>
        <w:rPr>
          <w:sz w:val="18"/>
        </w:rPr>
        <w:t xml:space="preserve"> </w:t>
      </w:r>
      <w:r w:rsidRPr="00BC372F">
        <w:rPr>
          <w:sz w:val="18"/>
        </w:rPr>
        <w:t>951</w:t>
      </w:r>
      <w:r>
        <w:rPr>
          <w:sz w:val="18"/>
        </w:rPr>
        <w:t xml:space="preserve"> </w:t>
      </w:r>
      <w:r w:rsidRPr="00BC372F">
        <w:rPr>
          <w:sz w:val="18"/>
        </w:rPr>
        <w:t>071,</w:t>
      </w:r>
      <w:r>
        <w:rPr>
          <w:sz w:val="18"/>
        </w:rPr>
        <w:t>8 EUR</w:t>
      </w:r>
      <w:r w:rsidRPr="00212838">
        <w:rPr>
          <w:sz w:val="18"/>
        </w:rPr>
        <w:t>.</w:t>
      </w:r>
    </w:p>
  </w:footnote>
  <w:footnote w:id="86">
    <w:p w:rsidR="00E038E7" w:rsidRDefault="00E038E7" w:rsidP="00C94E11">
      <w:pPr>
        <w:pStyle w:val="FootnoteText"/>
        <w:jc w:val="both"/>
      </w:pPr>
      <w:r>
        <w:rPr>
          <w:rStyle w:val="FootnoteReference"/>
        </w:rPr>
        <w:footnoteRef/>
      </w:r>
      <w:r>
        <w:t xml:space="preserve"> </w:t>
      </w:r>
      <w:r w:rsidRPr="00212838">
        <w:rPr>
          <w:sz w:val="18"/>
        </w:rPr>
        <w:t>272,1 Ft/</w:t>
      </w:r>
      <w:r>
        <w:rPr>
          <w:sz w:val="18"/>
        </w:rPr>
        <w:t>EUR</w:t>
      </w:r>
      <w:r w:rsidRPr="00212838">
        <w:rPr>
          <w:sz w:val="18"/>
        </w:rPr>
        <w:t xml:space="preserve"> árfolyammal számolva ennek forint értéke </w:t>
      </w:r>
      <w:r w:rsidRPr="00BC372F">
        <w:rPr>
          <w:sz w:val="18"/>
        </w:rPr>
        <w:t>14</w:t>
      </w:r>
      <w:r>
        <w:rPr>
          <w:sz w:val="18"/>
        </w:rPr>
        <w:t xml:space="preserve"> </w:t>
      </w:r>
      <w:r w:rsidRPr="00BC372F">
        <w:rPr>
          <w:sz w:val="18"/>
        </w:rPr>
        <w:t>035</w:t>
      </w:r>
      <w:r>
        <w:rPr>
          <w:sz w:val="18"/>
        </w:rPr>
        <w:t xml:space="preserve"> </w:t>
      </w:r>
      <w:r w:rsidRPr="00BC372F">
        <w:rPr>
          <w:sz w:val="18"/>
        </w:rPr>
        <w:t>215</w:t>
      </w:r>
      <w:r>
        <w:rPr>
          <w:sz w:val="18"/>
        </w:rPr>
        <w:t xml:space="preserve"> </w:t>
      </w:r>
      <w:r w:rsidRPr="00BC372F">
        <w:rPr>
          <w:sz w:val="18"/>
        </w:rPr>
        <w:t>677,4</w:t>
      </w:r>
      <w:r>
        <w:rPr>
          <w:sz w:val="18"/>
        </w:rPr>
        <w:t xml:space="preserve"> </w:t>
      </w:r>
      <w:r w:rsidRPr="00212838">
        <w:rPr>
          <w:sz w:val="18"/>
        </w:rPr>
        <w:t>Ft.</w:t>
      </w:r>
    </w:p>
  </w:footnote>
  <w:footnote w:id="87">
    <w:p w:rsidR="00E038E7" w:rsidRDefault="00E038E7" w:rsidP="0049268A">
      <w:pPr>
        <w:pStyle w:val="FootnoteText"/>
        <w:jc w:val="both"/>
      </w:pPr>
      <w:r>
        <w:rPr>
          <w:rStyle w:val="FootnoteReference"/>
        </w:rPr>
        <w:footnoteRef/>
      </w:r>
      <w:r>
        <w:t xml:space="preserve"> </w:t>
      </w:r>
      <w:r w:rsidRPr="0049268A">
        <w:rPr>
          <w:sz w:val="18"/>
        </w:rPr>
        <w:t>Megjegyzendő, hogy az IIER a támogatottak 34%-ánál nem tartalmaz KKV kódot!</w:t>
      </w:r>
    </w:p>
  </w:footnote>
  <w:footnote w:id="88">
    <w:p w:rsidR="00E038E7" w:rsidRDefault="00E038E7" w:rsidP="00FD163A">
      <w:pPr>
        <w:pStyle w:val="FootnoteText"/>
        <w:jc w:val="both"/>
      </w:pPr>
      <w:r>
        <w:rPr>
          <w:rStyle w:val="FootnoteReference"/>
        </w:rPr>
        <w:footnoteRef/>
      </w:r>
      <w:r>
        <w:t xml:space="preserve"> </w:t>
      </w:r>
      <w:r w:rsidRPr="00FD163A">
        <w:rPr>
          <w:sz w:val="18"/>
          <w:szCs w:val="18"/>
        </w:rPr>
        <w:t>A Programban kiemelt ágazati profilok: húsfeldolgozás és tartósítóipar, baromfifeldolgozás és tartósítóipar, baromf</w:t>
      </w:r>
      <w:r w:rsidRPr="00FD163A">
        <w:rPr>
          <w:sz w:val="18"/>
          <w:szCs w:val="18"/>
        </w:rPr>
        <w:t>i</w:t>
      </w:r>
      <w:r w:rsidRPr="00FD163A">
        <w:rPr>
          <w:sz w:val="18"/>
          <w:szCs w:val="18"/>
        </w:rPr>
        <w:t xml:space="preserve">hús készítmények, tejtermékek, malomipari termékek, keveréktakarmányok, gyümölcs és zöldség, bor. A kiemelt ágazati kör 2009-ben a pálinkatermékekkel és egyéb, máshova nem sorolt élelmiszerekkel (fűszerkeverékek, </w:t>
      </w:r>
      <w:proofErr w:type="spellStart"/>
      <w:r w:rsidRPr="00FD163A">
        <w:rPr>
          <w:sz w:val="18"/>
          <w:szCs w:val="18"/>
        </w:rPr>
        <w:t>szárítmányok</w:t>
      </w:r>
      <w:proofErr w:type="spellEnd"/>
      <w:r w:rsidRPr="00FD163A">
        <w:rPr>
          <w:sz w:val="18"/>
          <w:szCs w:val="18"/>
        </w:rPr>
        <w:t>) bővült.</w:t>
      </w:r>
    </w:p>
  </w:footnote>
  <w:footnote w:id="89">
    <w:p w:rsidR="00E038E7" w:rsidRPr="000E02BE" w:rsidRDefault="00E038E7">
      <w:pPr>
        <w:pStyle w:val="FootnoteText"/>
        <w:rPr>
          <w:sz w:val="16"/>
          <w:szCs w:val="16"/>
        </w:rPr>
      </w:pPr>
      <w:r w:rsidRPr="000E02BE">
        <w:rPr>
          <w:rStyle w:val="FootnoteReference"/>
          <w:sz w:val="16"/>
          <w:szCs w:val="16"/>
        </w:rPr>
        <w:footnoteRef/>
      </w:r>
      <w:r w:rsidRPr="000E02BE">
        <w:rPr>
          <w:sz w:val="16"/>
          <w:szCs w:val="16"/>
        </w:rPr>
        <w:t xml:space="preserve">  A </w:t>
      </w:r>
      <w:proofErr w:type="gramStart"/>
      <w:r w:rsidRPr="000E02BE">
        <w:rPr>
          <w:sz w:val="16"/>
          <w:szCs w:val="16"/>
        </w:rPr>
        <w:t>kapacitás korlátozás</w:t>
      </w:r>
      <w:proofErr w:type="gramEnd"/>
      <w:r w:rsidRPr="000E02BE">
        <w:rPr>
          <w:sz w:val="16"/>
          <w:szCs w:val="16"/>
        </w:rPr>
        <w:t xml:space="preserve"> csak és kifejezetten sertés illetve húscsirke (brojler)  új vágó kapacitás létrehozását nem támogatta az összes többi állatfaj vonatkozásában nem volt ilyen korlátozás.</w:t>
      </w:r>
    </w:p>
  </w:footnote>
  <w:footnote w:id="90">
    <w:p w:rsidR="00E038E7" w:rsidRDefault="00E038E7" w:rsidP="00295521">
      <w:pPr>
        <w:pStyle w:val="FootnoteText"/>
        <w:jc w:val="both"/>
      </w:pPr>
      <w:r w:rsidRPr="000E02BE">
        <w:rPr>
          <w:rStyle w:val="FootnoteReference"/>
          <w:sz w:val="16"/>
          <w:szCs w:val="16"/>
        </w:rPr>
        <w:footnoteRef/>
      </w:r>
      <w:r w:rsidRPr="000E02BE">
        <w:rPr>
          <w:sz w:val="16"/>
          <w:szCs w:val="16"/>
        </w:rPr>
        <w:t xml:space="preserve"> A II. kör adatai még nem állnak rendelkezésre.</w:t>
      </w:r>
    </w:p>
  </w:footnote>
  <w:footnote w:id="91">
    <w:p w:rsidR="00E038E7" w:rsidRDefault="00E038E7" w:rsidP="00A21BD8">
      <w:pPr>
        <w:pStyle w:val="FootnoteText"/>
        <w:jc w:val="both"/>
      </w:pPr>
      <w:r>
        <w:rPr>
          <w:rStyle w:val="FootnoteReference"/>
        </w:rPr>
        <w:footnoteRef/>
      </w:r>
      <w:r>
        <w:t xml:space="preserve"> </w:t>
      </w:r>
      <w:r w:rsidRPr="00A21BD8">
        <w:rPr>
          <w:sz w:val="18"/>
          <w:szCs w:val="18"/>
        </w:rPr>
        <w:t>Forrás: MVH Szervezési és Koordinációs Főosztályától 2010.08.06-án kapott „tételes lista”, valamint a Fejlesztési Főosztálytól kapott költségszerkezet lekérdezés. A megítélt támogatási összegek a költségszerkezeti arányok felhaszn</w:t>
      </w:r>
      <w:r w:rsidRPr="00A21BD8">
        <w:rPr>
          <w:sz w:val="18"/>
          <w:szCs w:val="18"/>
        </w:rPr>
        <w:t>á</w:t>
      </w:r>
      <w:r w:rsidRPr="00A21BD8">
        <w:rPr>
          <w:sz w:val="18"/>
          <w:szCs w:val="18"/>
        </w:rPr>
        <w:t>lásával, projektenként kalkulált összegek összege (nem elszámolható kiadás!).</w:t>
      </w:r>
    </w:p>
  </w:footnote>
  <w:footnote w:id="92">
    <w:p w:rsidR="00E038E7" w:rsidRDefault="00E038E7" w:rsidP="004A0BC4">
      <w:pPr>
        <w:pStyle w:val="FootnoteText"/>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93">
    <w:p w:rsidR="00E038E7" w:rsidRDefault="00E038E7" w:rsidP="004A0BC4">
      <w:pPr>
        <w:pStyle w:val="FootnoteText"/>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 </w:t>
      </w:r>
      <w:r>
        <w:rPr>
          <w:sz w:val="18"/>
        </w:rPr>
        <w:t>30 509 087 EUR</w:t>
      </w:r>
      <w:r w:rsidRPr="00212838">
        <w:rPr>
          <w:sz w:val="18"/>
        </w:rPr>
        <w:t>.</w:t>
      </w:r>
    </w:p>
  </w:footnote>
  <w:footnote w:id="94">
    <w:p w:rsidR="00E038E7" w:rsidRPr="00D16EB9" w:rsidRDefault="00E038E7" w:rsidP="004A0BC4">
      <w:pPr>
        <w:pStyle w:val="FootnoteText"/>
        <w:jc w:val="both"/>
        <w:rPr>
          <w:sz w:val="18"/>
        </w:rPr>
      </w:pPr>
      <w:r>
        <w:rPr>
          <w:rStyle w:val="FootnoteReference"/>
        </w:rPr>
        <w:footnoteRef/>
      </w:r>
      <w:r>
        <w:t xml:space="preserve"> </w:t>
      </w:r>
      <w:r w:rsidRPr="00212838">
        <w:rPr>
          <w:sz w:val="18"/>
        </w:rPr>
        <w:t>272,1 Ft/</w:t>
      </w:r>
      <w:r>
        <w:rPr>
          <w:sz w:val="18"/>
        </w:rPr>
        <w:t>EUR</w:t>
      </w:r>
      <w:r w:rsidRPr="00212838">
        <w:rPr>
          <w:sz w:val="18"/>
        </w:rPr>
        <w:t xml:space="preserve"> árfolyammal számolva ennek </w:t>
      </w:r>
      <w:r>
        <w:rPr>
          <w:sz w:val="18"/>
        </w:rPr>
        <w:t>EUR</w:t>
      </w:r>
      <w:r w:rsidRPr="00212838">
        <w:rPr>
          <w:sz w:val="18"/>
        </w:rPr>
        <w:t xml:space="preserve"> értéke</w:t>
      </w:r>
      <w:r>
        <w:rPr>
          <w:sz w:val="18"/>
        </w:rPr>
        <w:t xml:space="preserve"> </w:t>
      </w:r>
      <w:r w:rsidRPr="00D16EB9">
        <w:rPr>
          <w:iCs/>
          <w:sz w:val="18"/>
          <w:szCs w:val="22"/>
        </w:rPr>
        <w:t xml:space="preserve">10 633 295 </w:t>
      </w:r>
      <w:r>
        <w:rPr>
          <w:iCs/>
          <w:sz w:val="18"/>
          <w:szCs w:val="22"/>
        </w:rPr>
        <w:t>EUR.</w:t>
      </w:r>
    </w:p>
  </w:footnote>
  <w:footnote w:id="95">
    <w:p w:rsidR="00E038E7" w:rsidRDefault="00E038E7" w:rsidP="006735DE">
      <w:pPr>
        <w:pStyle w:val="FootnoteText"/>
        <w:jc w:val="both"/>
      </w:pPr>
      <w:r>
        <w:rPr>
          <w:rStyle w:val="FootnoteReference"/>
        </w:rPr>
        <w:footnoteRef/>
      </w:r>
      <w:r>
        <w:t xml:space="preserve"> </w:t>
      </w:r>
      <w:r w:rsidRPr="00387735">
        <w:rPr>
          <w:sz w:val="18"/>
        </w:rPr>
        <w:t xml:space="preserve">Forrás: MVH Szervezési és Koordinációs Főosztályától 2010.08.06-án kapott tételes lista adatai, valamint a 2010.09.25-én és 2010.11.05-én kapott MEPAR </w:t>
      </w:r>
      <w:proofErr w:type="spellStart"/>
      <w:r w:rsidRPr="00387735">
        <w:rPr>
          <w:sz w:val="18"/>
        </w:rPr>
        <w:t>fedvények</w:t>
      </w:r>
      <w:proofErr w:type="spellEnd"/>
      <w:r w:rsidRPr="00387735">
        <w:rPr>
          <w:sz w:val="18"/>
        </w:rPr>
        <w:t xml:space="preserve"> alapján.</w:t>
      </w:r>
    </w:p>
  </w:footnote>
  <w:footnote w:id="96">
    <w:p w:rsidR="00E038E7" w:rsidRDefault="00E038E7" w:rsidP="00FD7D1B">
      <w:pPr>
        <w:pStyle w:val="FootnoteText"/>
        <w:jc w:val="both"/>
      </w:pPr>
      <w:r>
        <w:rPr>
          <w:rStyle w:val="FootnoteReference"/>
        </w:rPr>
        <w:footnoteRef/>
      </w:r>
      <w:r>
        <w:t xml:space="preserve"> </w:t>
      </w:r>
      <w:r w:rsidRPr="008077C4">
        <w:rPr>
          <w:sz w:val="18"/>
        </w:rPr>
        <w:t>Forrás: MVH Szervezési és Koordinációs Főosztály 2010.08.06-án átadott ún. tételes lista alapján. Az adatbázis az IIER 2010.06.30-i adatállományát tartalmazta</w:t>
      </w:r>
      <w:r>
        <w:t>.</w:t>
      </w:r>
    </w:p>
  </w:footnote>
  <w:footnote w:id="97">
    <w:p w:rsidR="00E038E7" w:rsidRPr="00303934" w:rsidRDefault="00E038E7" w:rsidP="00FD7D1B">
      <w:pPr>
        <w:pStyle w:val="FootnoteText"/>
        <w:jc w:val="both"/>
        <w:rPr>
          <w:sz w:val="18"/>
          <w:szCs w:val="18"/>
        </w:rPr>
      </w:pPr>
      <w:r w:rsidRPr="00303934">
        <w:rPr>
          <w:rStyle w:val="FootnoteReference"/>
          <w:sz w:val="18"/>
          <w:szCs w:val="18"/>
        </w:rPr>
        <w:footnoteRef/>
      </w:r>
      <w:r w:rsidRPr="00303934">
        <w:rPr>
          <w:sz w:val="18"/>
          <w:szCs w:val="18"/>
        </w:rPr>
        <w:t xml:space="preserve"> 272,1 Ft/</w:t>
      </w:r>
      <w:r>
        <w:rPr>
          <w:sz w:val="18"/>
          <w:szCs w:val="18"/>
        </w:rPr>
        <w:t>EUR</w:t>
      </w:r>
      <w:r w:rsidRPr="00303934">
        <w:rPr>
          <w:sz w:val="18"/>
          <w:szCs w:val="18"/>
        </w:rPr>
        <w:t xml:space="preserve"> árfolyammal számolva ennek </w:t>
      </w:r>
      <w:r>
        <w:rPr>
          <w:sz w:val="18"/>
          <w:szCs w:val="18"/>
        </w:rPr>
        <w:t>EUR</w:t>
      </w:r>
      <w:r w:rsidRPr="00303934">
        <w:rPr>
          <w:sz w:val="18"/>
          <w:szCs w:val="18"/>
        </w:rPr>
        <w:t xml:space="preserve"> értéke </w:t>
      </w:r>
      <w:r>
        <w:rPr>
          <w:sz w:val="18"/>
          <w:szCs w:val="18"/>
        </w:rPr>
        <w:t>6 397 058</w:t>
      </w:r>
      <w:r w:rsidRPr="00303934">
        <w:rPr>
          <w:sz w:val="18"/>
          <w:szCs w:val="18"/>
        </w:rPr>
        <w:t xml:space="preserve"> </w:t>
      </w:r>
      <w:r>
        <w:rPr>
          <w:sz w:val="18"/>
          <w:szCs w:val="18"/>
        </w:rPr>
        <w:t>EUR</w:t>
      </w:r>
      <w:r w:rsidRPr="00303934">
        <w:rPr>
          <w:sz w:val="18"/>
          <w:szCs w:val="18"/>
        </w:rPr>
        <w:t>.</w:t>
      </w:r>
    </w:p>
  </w:footnote>
  <w:footnote w:id="98">
    <w:p w:rsidR="00E038E7" w:rsidRPr="00303934" w:rsidRDefault="00E038E7" w:rsidP="00FD7D1B">
      <w:pPr>
        <w:pStyle w:val="FootnoteText"/>
        <w:jc w:val="both"/>
        <w:rPr>
          <w:sz w:val="18"/>
          <w:szCs w:val="18"/>
        </w:rPr>
      </w:pPr>
      <w:r w:rsidRPr="00303934">
        <w:rPr>
          <w:rStyle w:val="FootnoteReference"/>
          <w:sz w:val="18"/>
          <w:szCs w:val="18"/>
        </w:rPr>
        <w:footnoteRef/>
      </w:r>
      <w:r w:rsidRPr="00303934">
        <w:rPr>
          <w:sz w:val="18"/>
          <w:szCs w:val="18"/>
        </w:rPr>
        <w:t xml:space="preserve"> NVT determinációhoz kapcsolódó kifizetésekkel csökkentett összeg. Összes kifizetés (26 755 074 </w:t>
      </w:r>
      <w:r>
        <w:rPr>
          <w:sz w:val="18"/>
          <w:szCs w:val="18"/>
        </w:rPr>
        <w:t>EUR</w:t>
      </w:r>
      <w:r w:rsidRPr="00303934">
        <w:rPr>
          <w:sz w:val="18"/>
          <w:szCs w:val="18"/>
        </w:rPr>
        <w:t>) - NVT dete</w:t>
      </w:r>
      <w:r w:rsidRPr="00303934">
        <w:rPr>
          <w:sz w:val="18"/>
          <w:szCs w:val="18"/>
        </w:rPr>
        <w:t>r</w:t>
      </w:r>
      <w:r w:rsidRPr="00303934">
        <w:rPr>
          <w:sz w:val="18"/>
          <w:szCs w:val="18"/>
        </w:rPr>
        <w:t xml:space="preserve">mináció (14 451 081 </w:t>
      </w:r>
      <w:r>
        <w:rPr>
          <w:sz w:val="18"/>
          <w:szCs w:val="18"/>
        </w:rPr>
        <w:t>EUR</w:t>
      </w:r>
      <w:r w:rsidRPr="00303934">
        <w:rPr>
          <w:sz w:val="18"/>
          <w:szCs w:val="18"/>
        </w:rPr>
        <w:t>). 272,1 Ft/</w:t>
      </w:r>
      <w:r>
        <w:rPr>
          <w:sz w:val="18"/>
          <w:szCs w:val="18"/>
        </w:rPr>
        <w:t>EUR</w:t>
      </w:r>
      <w:r w:rsidRPr="00303934">
        <w:rPr>
          <w:sz w:val="18"/>
          <w:szCs w:val="18"/>
        </w:rPr>
        <w:t xml:space="preserve"> árfolyammal számolva ennek forint értéke 3</w:t>
      </w:r>
      <w:r>
        <w:rPr>
          <w:sz w:val="18"/>
          <w:szCs w:val="18"/>
        </w:rPr>
        <w:t xml:space="preserve"> </w:t>
      </w:r>
      <w:r w:rsidRPr="00303934">
        <w:rPr>
          <w:sz w:val="18"/>
          <w:szCs w:val="18"/>
        </w:rPr>
        <w:t>347</w:t>
      </w:r>
      <w:r>
        <w:rPr>
          <w:sz w:val="18"/>
          <w:szCs w:val="18"/>
        </w:rPr>
        <w:t xml:space="preserve"> </w:t>
      </w:r>
      <w:r w:rsidRPr="00303934">
        <w:rPr>
          <w:sz w:val="18"/>
          <w:szCs w:val="18"/>
        </w:rPr>
        <w:t>916</w:t>
      </w:r>
      <w:r>
        <w:rPr>
          <w:sz w:val="18"/>
          <w:szCs w:val="18"/>
        </w:rPr>
        <w:t xml:space="preserve"> </w:t>
      </w:r>
      <w:r w:rsidRPr="00303934">
        <w:rPr>
          <w:sz w:val="18"/>
          <w:szCs w:val="18"/>
        </w:rPr>
        <w:t>495</w:t>
      </w:r>
      <w:r>
        <w:rPr>
          <w:sz w:val="18"/>
          <w:szCs w:val="18"/>
        </w:rPr>
        <w:t xml:space="preserve"> </w:t>
      </w:r>
      <w:r w:rsidRPr="00303934">
        <w:rPr>
          <w:sz w:val="18"/>
          <w:szCs w:val="18"/>
        </w:rPr>
        <w:t>Ft.</w:t>
      </w:r>
    </w:p>
  </w:footnote>
  <w:footnote w:id="99">
    <w:p w:rsidR="00E038E7" w:rsidRDefault="00E038E7" w:rsidP="005E5031">
      <w:pPr>
        <w:pStyle w:val="FootnoteText"/>
        <w:jc w:val="both"/>
      </w:pPr>
      <w:r>
        <w:rPr>
          <w:rStyle w:val="FootnoteReference"/>
        </w:rPr>
        <w:footnoteRef/>
      </w:r>
      <w:r>
        <w:t xml:space="preserve"> </w:t>
      </w:r>
      <w:r w:rsidRPr="00F76EEE">
        <w:rPr>
          <w:sz w:val="18"/>
        </w:rPr>
        <w:t xml:space="preserve">Az 59 kedvezményezett közül </w:t>
      </w:r>
      <w:r>
        <w:rPr>
          <w:sz w:val="18"/>
        </w:rPr>
        <w:t xml:space="preserve">a 2008-as évre </w:t>
      </w:r>
      <w:r w:rsidRPr="00F76EEE">
        <w:rPr>
          <w:sz w:val="18"/>
        </w:rPr>
        <w:t>39 adott monitoring adatokat.</w:t>
      </w:r>
    </w:p>
  </w:footnote>
  <w:footnote w:id="100">
    <w:p w:rsidR="00E038E7" w:rsidRPr="00E67E13" w:rsidRDefault="00E038E7" w:rsidP="00C24E0A">
      <w:pPr>
        <w:pStyle w:val="FootnoteText"/>
        <w:rPr>
          <w:sz w:val="16"/>
          <w:szCs w:val="16"/>
        </w:rPr>
      </w:pPr>
      <w:r w:rsidRPr="00E67E13">
        <w:rPr>
          <w:rStyle w:val="FootnoteReference"/>
          <w:sz w:val="16"/>
          <w:szCs w:val="16"/>
        </w:rPr>
        <w:footnoteRef/>
      </w:r>
      <w:r w:rsidRPr="00E67E13">
        <w:rPr>
          <w:sz w:val="16"/>
          <w:szCs w:val="16"/>
        </w:rPr>
        <w:t xml:space="preserve"> A borászati ágazat tekintetében az ágazati szabályozás, évjárati hatások, borimport, elöregedés szerepet játszhatott a csoportok számának csökkenésében, de a mögöttes ágazati teljesítmény nem csökkent. </w:t>
      </w:r>
    </w:p>
  </w:footnote>
  <w:footnote w:id="101">
    <w:p w:rsidR="00E038E7" w:rsidRPr="00E60698" w:rsidRDefault="00E038E7" w:rsidP="005E5031">
      <w:pPr>
        <w:pStyle w:val="FootnoteText"/>
        <w:jc w:val="both"/>
        <w:rPr>
          <w:sz w:val="16"/>
          <w:szCs w:val="16"/>
        </w:rPr>
      </w:pPr>
      <w:r w:rsidRPr="00E60698">
        <w:rPr>
          <w:rStyle w:val="FootnoteReference"/>
          <w:sz w:val="16"/>
          <w:szCs w:val="16"/>
        </w:rPr>
        <w:footnoteRef/>
      </w:r>
      <w:r w:rsidRPr="00E60698">
        <w:rPr>
          <w:sz w:val="16"/>
          <w:szCs w:val="16"/>
        </w:rPr>
        <w:t xml:space="preserve"> A Vidékfejlesztési Minisztérium az értékelés összeállításának időpontjában még nem zárta le a 2009-es TCS éves jelentések teljes körű feldolgozását.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E7" w:rsidRPr="0056470D" w:rsidRDefault="00E038E7" w:rsidP="0056470D">
    <w:pPr>
      <w:pStyle w:val="Header"/>
      <w:pBdr>
        <w:bottom w:val="single" w:sz="4" w:space="1" w:color="auto"/>
      </w:pBdr>
      <w:tabs>
        <w:tab w:val="clear" w:pos="4536"/>
        <w:tab w:val="left" w:pos="426"/>
      </w:tabs>
      <w:spacing w:before="60" w:after="60" w:line="280" w:lineRule="atLeast"/>
      <w:ind w:left="426" w:right="91"/>
      <w:rPr>
        <w:smallCaps/>
        <w:color w:val="53564F"/>
      </w:rPr>
    </w:pPr>
    <w:r>
      <w:rPr>
        <w:b/>
        <w:smallCaps/>
        <w:noProof/>
        <w:color w:val="53564F"/>
      </w:rPr>
      <w:drawing>
        <wp:anchor distT="0" distB="0" distL="114300" distR="114300" simplePos="0" relativeHeight="251656704" behindDoc="0" locked="0" layoutInCell="1" allowOverlap="1">
          <wp:simplePos x="0" y="0"/>
          <wp:positionH relativeFrom="column">
            <wp:posOffset>-90170</wp:posOffset>
          </wp:positionH>
          <wp:positionV relativeFrom="paragraph">
            <wp:posOffset>-210185</wp:posOffset>
          </wp:positionV>
          <wp:extent cx="294640" cy="838835"/>
          <wp:effectExtent l="19050" t="0" r="0" b="0"/>
          <wp:wrapSquare wrapText="bothSides"/>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l="3052"/>
                  <a:stretch>
                    <a:fillRect/>
                  </a:stretch>
                </pic:blipFill>
                <pic:spPr bwMode="auto">
                  <a:xfrm>
                    <a:off x="0" y="0"/>
                    <a:ext cx="294640" cy="838835"/>
                  </a:xfrm>
                  <a:prstGeom prst="rect">
                    <a:avLst/>
                  </a:prstGeom>
                  <a:noFill/>
                  <a:ln w="9525">
                    <a:noFill/>
                    <a:miter lim="800000"/>
                    <a:headEnd/>
                    <a:tailEnd/>
                  </a:ln>
                </pic:spPr>
              </pic:pic>
            </a:graphicData>
          </a:graphic>
        </wp:anchor>
      </w:drawing>
    </w:r>
    <w:r w:rsidRPr="00A47147">
      <w:rPr>
        <w:b/>
        <w:smallCaps/>
        <w:color w:val="53564F"/>
      </w:rPr>
      <w:t>HUNGARIKUM KONZORCIUM</w:t>
    </w:r>
    <w:r>
      <w:rPr>
        <w:b/>
        <w:smallCaps/>
        <w:color w:val="53564F"/>
      </w:rPr>
      <w:tab/>
    </w:r>
    <w:r>
      <w:rPr>
        <w:smallCaps/>
        <w:color w:val="53564F"/>
      </w:rPr>
      <w:t>Zárójelentés</w:t>
    </w:r>
  </w:p>
  <w:p w:rsidR="00E038E7" w:rsidRPr="00185D59" w:rsidRDefault="00E038E7" w:rsidP="0056470D">
    <w:pPr>
      <w:pStyle w:val="Header"/>
      <w:tabs>
        <w:tab w:val="clear" w:pos="4536"/>
        <w:tab w:val="left" w:pos="426"/>
      </w:tabs>
      <w:spacing w:before="60" w:after="60" w:line="280" w:lineRule="atLeast"/>
      <w:ind w:left="426" w:right="91"/>
      <w:rPr>
        <w:highlight w:val="yellow"/>
      </w:rPr>
    </w:pPr>
    <w:r>
      <w:rPr>
        <w:color w:val="53564F"/>
      </w:rPr>
      <w:t>ÚMVP FÉLIDEI ÉRTÉKELÉS</w:t>
    </w:r>
    <w:r>
      <w:rPr>
        <w:color w:val="53564F"/>
      </w:rPr>
      <w:tab/>
    </w:r>
    <w:r>
      <w:rPr>
        <w:color w:val="53564F"/>
      </w:rPr>
      <w:fldChar w:fldCharType="begin"/>
    </w:r>
    <w:r>
      <w:rPr>
        <w:color w:val="53564F"/>
      </w:rPr>
      <w:instrText xml:space="preserve"> PAGE   \* MERGEFORMAT </w:instrText>
    </w:r>
    <w:r>
      <w:rPr>
        <w:color w:val="53564F"/>
      </w:rPr>
      <w:fldChar w:fldCharType="separate"/>
    </w:r>
    <w:r w:rsidR="00DD5284">
      <w:rPr>
        <w:noProof/>
        <w:color w:val="53564F"/>
      </w:rPr>
      <w:t>124</w:t>
    </w:r>
    <w:r>
      <w:rPr>
        <w:color w:val="53564F"/>
      </w:rPr>
      <w:fldChar w:fldCharType="end"/>
    </w:r>
    <w:r>
      <w:rPr>
        <w:noProof/>
      </w:rPr>
      <w:pict>
        <v:shapetype id="_x0000_t202" coordsize="21600,21600" o:spt="202" path="m,l,21600r21600,l21600,xe">
          <v:stroke joinstyle="miter"/>
          <v:path gradientshapeok="t" o:connecttype="rect"/>
        </v:shapetype>
        <v:shape id="_x0000_s2049" type="#_x0000_t202" style="position:absolute;left:0;text-align:left;margin-left:985.8pt;margin-top:2.8pt;width:33pt;height:57pt;z-index:251655680;mso-position-horizontal-relative:text;mso-position-vertical-relative:text;mso-width-relative:margin;mso-height-relative:margin" filled="f" stroked="f">
          <v:textbox style="layout-flow:vertical;mso-layout-flow-alt:bottom-to-top;mso-next-textbox:#_x0000_s2049">
            <w:txbxContent>
              <w:p w:rsidR="00E038E7" w:rsidRPr="00D57088" w:rsidRDefault="00E038E7" w:rsidP="00637532">
                <w:pPr>
                  <w:jc w:val="center"/>
                  <w:rPr>
                    <w:rFonts w:ascii="Franklin Gothic Demi" w:hAnsi="Franklin Gothic Demi"/>
                    <w:color w:val="FFFFFF"/>
                    <w:sz w:val="18"/>
                    <w:szCs w:val="18"/>
                  </w:rPr>
                </w:pPr>
                <w:r w:rsidRPr="00D57088">
                  <w:rPr>
                    <w:rFonts w:ascii="Franklin Gothic Demi" w:hAnsi="Franklin Gothic Demi"/>
                    <w:color w:val="FFFFFF"/>
                    <w:sz w:val="18"/>
                    <w:szCs w:val="18"/>
                  </w:rPr>
                  <w:fldChar w:fldCharType="begin"/>
                </w:r>
                <w:r w:rsidRPr="00D57088">
                  <w:rPr>
                    <w:rFonts w:ascii="Franklin Gothic Demi" w:hAnsi="Franklin Gothic Demi"/>
                    <w:color w:val="FFFFFF"/>
                    <w:sz w:val="18"/>
                    <w:szCs w:val="18"/>
                  </w:rPr>
                  <w:instrText xml:space="preserve"> PAGE </w:instrText>
                </w:r>
                <w:r w:rsidRPr="00D57088">
                  <w:rPr>
                    <w:rFonts w:ascii="Franklin Gothic Demi" w:hAnsi="Franklin Gothic Demi"/>
                    <w:color w:val="FFFFFF"/>
                    <w:sz w:val="18"/>
                    <w:szCs w:val="18"/>
                  </w:rPr>
                  <w:fldChar w:fldCharType="separate"/>
                </w:r>
                <w:r w:rsidR="00DD5284">
                  <w:rPr>
                    <w:rFonts w:ascii="Franklin Gothic Demi" w:hAnsi="Franklin Gothic Demi"/>
                    <w:noProof/>
                    <w:color w:val="FFFFFF"/>
                    <w:sz w:val="18"/>
                    <w:szCs w:val="18"/>
                  </w:rPr>
                  <w:t>124</w:t>
                </w:r>
                <w:r w:rsidRPr="00D57088">
                  <w:rPr>
                    <w:rFonts w:ascii="Franklin Gothic Demi" w:hAnsi="Franklin Gothic Demi"/>
                    <w:color w:val="FFFFFF"/>
                    <w:sz w:val="18"/>
                    <w:szCs w:val="18"/>
                  </w:rPr>
                  <w:fldChar w:fldCharType="end"/>
                </w:r>
                <w:r w:rsidRPr="00D57088">
                  <w:rPr>
                    <w:rFonts w:ascii="Franklin Gothic Demi" w:hAnsi="Franklin Gothic Demi"/>
                    <w:color w:val="FFFFFF"/>
                    <w:sz w:val="18"/>
                    <w:szCs w:val="18"/>
                  </w:rPr>
                  <w:t xml:space="preserve"> / </w:t>
                </w:r>
                <w:r w:rsidRPr="00D57088">
                  <w:rPr>
                    <w:rFonts w:ascii="Franklin Gothic Demi" w:hAnsi="Franklin Gothic Demi"/>
                    <w:color w:val="FFFFFF"/>
                    <w:sz w:val="18"/>
                    <w:szCs w:val="18"/>
                  </w:rPr>
                  <w:fldChar w:fldCharType="begin"/>
                </w:r>
                <w:r w:rsidRPr="00D57088">
                  <w:rPr>
                    <w:rFonts w:ascii="Franklin Gothic Demi" w:hAnsi="Franklin Gothic Demi"/>
                    <w:color w:val="FFFFFF"/>
                    <w:sz w:val="18"/>
                    <w:szCs w:val="18"/>
                  </w:rPr>
                  <w:instrText xml:space="preserve"> NUMPAGES  </w:instrText>
                </w:r>
                <w:r w:rsidRPr="00D57088">
                  <w:rPr>
                    <w:rFonts w:ascii="Franklin Gothic Demi" w:hAnsi="Franklin Gothic Demi"/>
                    <w:color w:val="FFFFFF"/>
                    <w:sz w:val="18"/>
                    <w:szCs w:val="18"/>
                  </w:rPr>
                  <w:fldChar w:fldCharType="separate"/>
                </w:r>
                <w:r w:rsidR="00DD5284">
                  <w:rPr>
                    <w:rFonts w:ascii="Franklin Gothic Demi" w:hAnsi="Franklin Gothic Demi"/>
                    <w:noProof/>
                    <w:color w:val="FFFFFF"/>
                    <w:sz w:val="18"/>
                    <w:szCs w:val="18"/>
                  </w:rPr>
                  <w:t>71</w:t>
                </w:r>
                <w:r w:rsidRPr="00D57088">
                  <w:rPr>
                    <w:rFonts w:ascii="Franklin Gothic Demi" w:hAnsi="Franklin Gothic Demi"/>
                    <w:color w:val="FFFFFF"/>
                    <w:sz w:val="18"/>
                    <w:szCs w:val="18"/>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E7" w:rsidRPr="00FC134F" w:rsidRDefault="00E038E7" w:rsidP="00FC134F">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4A8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B87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B0FA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22CD0"/>
    <w:lvl w:ilvl="0">
      <w:start w:val="1"/>
      <w:numFmt w:val="decimal"/>
      <w:pStyle w:val="ListNumber2"/>
      <w:lvlText w:val="%1."/>
      <w:lvlJc w:val="left"/>
      <w:pPr>
        <w:tabs>
          <w:tab w:val="num" w:pos="643"/>
        </w:tabs>
        <w:ind w:left="643" w:hanging="360"/>
      </w:pPr>
    </w:lvl>
  </w:abstractNum>
  <w:abstractNum w:abstractNumId="4">
    <w:nsid w:val="FFFFFF88"/>
    <w:multiLevelType w:val="singleLevel"/>
    <w:tmpl w:val="BBF2D77E"/>
    <w:lvl w:ilvl="0">
      <w:start w:val="1"/>
      <w:numFmt w:val="decimal"/>
      <w:pStyle w:val="ListNumber"/>
      <w:lvlText w:val="%1."/>
      <w:lvlJc w:val="left"/>
      <w:pPr>
        <w:tabs>
          <w:tab w:val="num" w:pos="360"/>
        </w:tabs>
        <w:ind w:left="360" w:hanging="360"/>
      </w:pPr>
    </w:lvl>
  </w:abstractNum>
  <w:abstractNum w:abstractNumId="5">
    <w:nsid w:val="02CB43BF"/>
    <w:multiLevelType w:val="hybridMultilevel"/>
    <w:tmpl w:val="5CFE1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76C7385"/>
    <w:multiLevelType w:val="hybridMultilevel"/>
    <w:tmpl w:val="2BF6EE14"/>
    <w:lvl w:ilvl="0" w:tplc="040E0001">
      <w:start w:val="1"/>
      <w:numFmt w:val="bullet"/>
      <w:pStyle w:val="HUNBullet3"/>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7A3050"/>
    <w:multiLevelType w:val="hybridMultilevel"/>
    <w:tmpl w:val="4DD66836"/>
    <w:lvl w:ilvl="0" w:tplc="040E0001">
      <w:start w:val="1"/>
      <w:numFmt w:val="upperLetter"/>
      <w:pStyle w:val="HUNAnnexheading2"/>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
    <w:nsid w:val="122D7C6E"/>
    <w:multiLevelType w:val="hybridMultilevel"/>
    <w:tmpl w:val="93C6A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623799C"/>
    <w:multiLevelType w:val="hybridMultilevel"/>
    <w:tmpl w:val="40C66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9308A0"/>
    <w:multiLevelType w:val="hybridMultilevel"/>
    <w:tmpl w:val="3AB49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E330F5"/>
    <w:multiLevelType w:val="hybridMultilevel"/>
    <w:tmpl w:val="B4386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0B091D"/>
    <w:multiLevelType w:val="hybridMultilevel"/>
    <w:tmpl w:val="89842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9D469BF"/>
    <w:multiLevelType w:val="hybridMultilevel"/>
    <w:tmpl w:val="50460736"/>
    <w:lvl w:ilvl="0" w:tplc="D29AF77C">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nsid w:val="2C515A37"/>
    <w:multiLevelType w:val="hybridMultilevel"/>
    <w:tmpl w:val="B87CF50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F82AD9"/>
    <w:multiLevelType w:val="multilevel"/>
    <w:tmpl w:val="526A309A"/>
    <w:lvl w:ilvl="0">
      <w:start w:val="1"/>
      <w:numFmt w:val="decimal"/>
      <w:lvlText w:val="%1."/>
      <w:lvlJc w:val="left"/>
      <w:pPr>
        <w:tabs>
          <w:tab w:val="num" w:pos="360"/>
        </w:tabs>
        <w:ind w:left="0" w:firstLine="0"/>
      </w:pPr>
    </w:lvl>
    <w:lvl w:ilvl="1">
      <w:start w:val="1"/>
      <w:numFmt w:val="decimal"/>
      <w:lvlText w:val="%1.%2"/>
      <w:lvlJc w:val="left"/>
      <w:pPr>
        <w:tabs>
          <w:tab w:val="num" w:pos="720"/>
        </w:tabs>
        <w:ind w:left="-284" w:firstLine="284"/>
      </w:pPr>
    </w:lvl>
    <w:lvl w:ilvl="2">
      <w:start w:val="1"/>
      <w:numFmt w:val="decimal"/>
      <w:lvlText w:val="%1.%2.%3"/>
      <w:lvlJc w:val="left"/>
      <w:pPr>
        <w:tabs>
          <w:tab w:val="num" w:pos="964"/>
        </w:tabs>
        <w:ind w:left="964" w:hanging="964"/>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247"/>
        </w:tabs>
        <w:ind w:left="1247" w:hanging="1247"/>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1702"/>
        </w:tabs>
        <w:ind w:left="1702" w:firstLine="0"/>
      </w:pPr>
    </w:lvl>
  </w:abstractNum>
  <w:abstractNum w:abstractNumId="16">
    <w:nsid w:val="340D15F0"/>
    <w:multiLevelType w:val="hybridMultilevel"/>
    <w:tmpl w:val="89449A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B671249"/>
    <w:multiLevelType w:val="hybridMultilevel"/>
    <w:tmpl w:val="5AF6F8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C010EB4"/>
    <w:multiLevelType w:val="hybridMultilevel"/>
    <w:tmpl w:val="68A04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E65340F"/>
    <w:multiLevelType w:val="hybridMultilevel"/>
    <w:tmpl w:val="AE42CA78"/>
    <w:lvl w:ilvl="0" w:tplc="040E0001">
      <w:start w:val="1"/>
      <w:numFmt w:val="bullet"/>
      <w:pStyle w:val="HUNBullet2"/>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38266CE"/>
    <w:multiLevelType w:val="hybridMultilevel"/>
    <w:tmpl w:val="7B527C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5DA52D5"/>
    <w:multiLevelType w:val="hybridMultilevel"/>
    <w:tmpl w:val="0FAEE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738582A"/>
    <w:multiLevelType w:val="hybridMultilevel"/>
    <w:tmpl w:val="1B5A8A1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nsid w:val="5D584732"/>
    <w:multiLevelType w:val="hybridMultilevel"/>
    <w:tmpl w:val="1B5A8A1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5DBE1D52"/>
    <w:multiLevelType w:val="multilevel"/>
    <w:tmpl w:val="17A0B748"/>
    <w:lvl w:ilvl="0">
      <w:start w:val="5"/>
      <w:numFmt w:val="decimal"/>
      <w:pStyle w:val="HUNHeading1"/>
      <w:lvlText w:val="%1."/>
      <w:lvlJc w:val="left"/>
      <w:pPr>
        <w:ind w:left="360" w:hanging="360"/>
      </w:pPr>
      <w:rPr>
        <w:rFonts w:hint="default"/>
      </w:rPr>
    </w:lvl>
    <w:lvl w:ilvl="1">
      <w:start w:val="1"/>
      <w:numFmt w:val="decimal"/>
      <w:pStyle w:val="HUNHeading2"/>
      <w:lvlText w:val="%1.%2."/>
      <w:lvlJc w:val="left"/>
      <w:pPr>
        <w:ind w:left="792" w:hanging="432"/>
      </w:pPr>
      <w:rPr>
        <w:rFonts w:hint="default"/>
      </w:rPr>
    </w:lvl>
    <w:lvl w:ilvl="2">
      <w:start w:val="1"/>
      <w:numFmt w:val="decimal"/>
      <w:pStyle w:val="HUNHeading3"/>
      <w:lvlText w:val="%1.%2.%3."/>
      <w:lvlJc w:val="left"/>
      <w:pPr>
        <w:ind w:left="1224" w:hanging="504"/>
      </w:pPr>
      <w:rPr>
        <w:rFonts w:hint="default"/>
      </w:rPr>
    </w:lvl>
    <w:lvl w:ilvl="3">
      <w:start w:val="1"/>
      <w:numFmt w:val="decimal"/>
      <w:pStyle w:val="HUNHeading4"/>
      <w:lvlText w:val="%1.%2.%3.%4."/>
      <w:lvlJc w:val="left"/>
      <w:pPr>
        <w:ind w:left="1728" w:hanging="648"/>
      </w:pPr>
      <w:rPr>
        <w:rFonts w:hint="default"/>
      </w:rPr>
    </w:lvl>
    <w:lvl w:ilvl="4">
      <w:start w:val="1"/>
      <w:numFmt w:val="decimal"/>
      <w:pStyle w:val="HUNHeading5"/>
      <w:lvlText w:val="%1.%2.%3.%4.%5."/>
      <w:lvlJc w:val="left"/>
      <w:pPr>
        <w:ind w:left="2232" w:hanging="792"/>
      </w:pPr>
      <w:rPr>
        <w:rFonts w:hint="default"/>
      </w:rPr>
    </w:lvl>
    <w:lvl w:ilvl="5">
      <w:start w:val="1"/>
      <w:numFmt w:val="decimal"/>
      <w:pStyle w:val="HUNHeading6"/>
      <w:lvlText w:val="%1.%2.%3.%4.%5.%6."/>
      <w:lvlJc w:val="left"/>
      <w:pPr>
        <w:ind w:left="2736" w:hanging="936"/>
      </w:pPr>
      <w:rPr>
        <w:rFonts w:hint="default"/>
      </w:rPr>
    </w:lvl>
    <w:lvl w:ilvl="6">
      <w:start w:val="1"/>
      <w:numFmt w:val="decimal"/>
      <w:pStyle w:val="HUNHeading7"/>
      <w:lvlText w:val="%1.%2.%3.%4.%5.%6.%7."/>
      <w:lvlJc w:val="left"/>
      <w:pPr>
        <w:ind w:left="3240" w:hanging="1080"/>
      </w:pPr>
      <w:rPr>
        <w:rFonts w:hint="default"/>
      </w:rPr>
    </w:lvl>
    <w:lvl w:ilvl="7">
      <w:start w:val="1"/>
      <w:numFmt w:val="decimal"/>
      <w:pStyle w:val="HUNHeading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A20FB7"/>
    <w:multiLevelType w:val="hybridMultilevel"/>
    <w:tmpl w:val="138E6F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420751C"/>
    <w:multiLevelType w:val="hybridMultilevel"/>
    <w:tmpl w:val="EDB00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AF50CA2"/>
    <w:multiLevelType w:val="hybridMultilevel"/>
    <w:tmpl w:val="C142A8F6"/>
    <w:lvl w:ilvl="0" w:tplc="312CB6F0">
      <w:start w:val="1"/>
      <w:numFmt w:val="bullet"/>
      <w:pStyle w:val="HUNBullet1"/>
      <w:lvlText w:val=""/>
      <w:lvlJc w:val="left"/>
      <w:pPr>
        <w:ind w:left="720" w:hanging="360"/>
      </w:pPr>
      <w:rPr>
        <w:rFonts w:ascii="Symbol" w:hAnsi="Symbol" w:hint="default"/>
      </w:rPr>
    </w:lvl>
    <w:lvl w:ilvl="1" w:tplc="BA747242" w:tentative="1">
      <w:start w:val="1"/>
      <w:numFmt w:val="bullet"/>
      <w:lvlText w:val="o"/>
      <w:lvlJc w:val="left"/>
      <w:pPr>
        <w:ind w:left="1440" w:hanging="360"/>
      </w:pPr>
      <w:rPr>
        <w:rFonts w:ascii="Courier New" w:hAnsi="Courier New" w:cs="Courier New" w:hint="default"/>
      </w:rPr>
    </w:lvl>
    <w:lvl w:ilvl="2" w:tplc="F1CE2206" w:tentative="1">
      <w:start w:val="1"/>
      <w:numFmt w:val="bullet"/>
      <w:lvlText w:val=""/>
      <w:lvlJc w:val="left"/>
      <w:pPr>
        <w:ind w:left="2160" w:hanging="360"/>
      </w:pPr>
      <w:rPr>
        <w:rFonts w:ascii="Wingdings" w:hAnsi="Wingdings" w:hint="default"/>
      </w:rPr>
    </w:lvl>
    <w:lvl w:ilvl="3" w:tplc="9CCE3818" w:tentative="1">
      <w:start w:val="1"/>
      <w:numFmt w:val="bullet"/>
      <w:lvlText w:val=""/>
      <w:lvlJc w:val="left"/>
      <w:pPr>
        <w:ind w:left="2880" w:hanging="360"/>
      </w:pPr>
      <w:rPr>
        <w:rFonts w:ascii="Symbol" w:hAnsi="Symbol" w:hint="default"/>
      </w:rPr>
    </w:lvl>
    <w:lvl w:ilvl="4" w:tplc="77543184" w:tentative="1">
      <w:start w:val="1"/>
      <w:numFmt w:val="bullet"/>
      <w:lvlText w:val="o"/>
      <w:lvlJc w:val="left"/>
      <w:pPr>
        <w:ind w:left="3600" w:hanging="360"/>
      </w:pPr>
      <w:rPr>
        <w:rFonts w:ascii="Courier New" w:hAnsi="Courier New" w:cs="Courier New" w:hint="default"/>
      </w:rPr>
    </w:lvl>
    <w:lvl w:ilvl="5" w:tplc="1ABABC0A" w:tentative="1">
      <w:start w:val="1"/>
      <w:numFmt w:val="bullet"/>
      <w:lvlText w:val=""/>
      <w:lvlJc w:val="left"/>
      <w:pPr>
        <w:ind w:left="4320" w:hanging="360"/>
      </w:pPr>
      <w:rPr>
        <w:rFonts w:ascii="Wingdings" w:hAnsi="Wingdings" w:hint="default"/>
      </w:rPr>
    </w:lvl>
    <w:lvl w:ilvl="6" w:tplc="60703F82" w:tentative="1">
      <w:start w:val="1"/>
      <w:numFmt w:val="bullet"/>
      <w:lvlText w:val=""/>
      <w:lvlJc w:val="left"/>
      <w:pPr>
        <w:ind w:left="5040" w:hanging="360"/>
      </w:pPr>
      <w:rPr>
        <w:rFonts w:ascii="Symbol" w:hAnsi="Symbol" w:hint="default"/>
      </w:rPr>
    </w:lvl>
    <w:lvl w:ilvl="7" w:tplc="EE388E88" w:tentative="1">
      <w:start w:val="1"/>
      <w:numFmt w:val="bullet"/>
      <w:lvlText w:val="o"/>
      <w:lvlJc w:val="left"/>
      <w:pPr>
        <w:ind w:left="5760" w:hanging="360"/>
      </w:pPr>
      <w:rPr>
        <w:rFonts w:ascii="Courier New" w:hAnsi="Courier New" w:cs="Courier New" w:hint="default"/>
      </w:rPr>
    </w:lvl>
    <w:lvl w:ilvl="8" w:tplc="9E9C3E6C" w:tentative="1">
      <w:start w:val="1"/>
      <w:numFmt w:val="bullet"/>
      <w:lvlText w:val=""/>
      <w:lvlJc w:val="left"/>
      <w:pPr>
        <w:ind w:left="6480" w:hanging="360"/>
      </w:pPr>
      <w:rPr>
        <w:rFonts w:ascii="Wingdings" w:hAnsi="Wingdings" w:hint="default"/>
      </w:rPr>
    </w:lvl>
  </w:abstractNum>
  <w:abstractNum w:abstractNumId="28">
    <w:nsid w:val="70C92C18"/>
    <w:multiLevelType w:val="hybridMultilevel"/>
    <w:tmpl w:val="A2EA7D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26C64CF"/>
    <w:multiLevelType w:val="hybridMultilevel"/>
    <w:tmpl w:val="443C20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3765151"/>
    <w:multiLevelType w:val="hybridMultilevel"/>
    <w:tmpl w:val="50460736"/>
    <w:lvl w:ilvl="0" w:tplc="D29AF77C">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1">
    <w:nsid w:val="79266E7F"/>
    <w:multiLevelType w:val="hybridMultilevel"/>
    <w:tmpl w:val="BB949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92F4410"/>
    <w:multiLevelType w:val="hybridMultilevel"/>
    <w:tmpl w:val="9DFA03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9976F63"/>
    <w:multiLevelType w:val="hybridMultilevel"/>
    <w:tmpl w:val="7BD89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F7F7718"/>
    <w:multiLevelType w:val="hybridMultilevel"/>
    <w:tmpl w:val="5F3ABF40"/>
    <w:lvl w:ilvl="0" w:tplc="040E0001">
      <w:start w:val="1"/>
      <w:numFmt w:val="lowerLetter"/>
      <w:pStyle w:val="HUNAlphabeticallist1"/>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5">
    <w:nsid w:val="7FFB0FB8"/>
    <w:multiLevelType w:val="hybridMultilevel"/>
    <w:tmpl w:val="90C08E1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9"/>
  </w:num>
  <w:num w:numId="4">
    <w:abstractNumId w:val="6"/>
  </w:num>
  <w:num w:numId="5">
    <w:abstractNumId w:val="34"/>
  </w:num>
  <w:num w:numId="6">
    <w:abstractNumId w:val="7"/>
  </w:num>
  <w:num w:numId="7">
    <w:abstractNumId w:val="4"/>
  </w:num>
  <w:num w:numId="8">
    <w:abstractNumId w:val="3"/>
  </w:num>
  <w:num w:numId="9">
    <w:abstractNumId w:val="2"/>
  </w:num>
  <w:num w:numId="10">
    <w:abstractNumId w:val="1"/>
  </w:num>
  <w:num w:numId="11">
    <w:abstractNumId w:val="0"/>
  </w:num>
  <w:num w:numId="12">
    <w:abstractNumId w:val="24"/>
  </w:num>
  <w:num w:numId="13">
    <w:abstractNumId w:val="30"/>
  </w:num>
  <w:num w:numId="14">
    <w:abstractNumId w:val="29"/>
  </w:num>
  <w:num w:numId="15">
    <w:abstractNumId w:val="25"/>
  </w:num>
  <w:num w:numId="16">
    <w:abstractNumId w:val="13"/>
  </w:num>
  <w:num w:numId="17">
    <w:abstractNumId w:val="16"/>
  </w:num>
  <w:num w:numId="18">
    <w:abstractNumId w:val="14"/>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num>
  <w:num w:numId="23">
    <w:abstractNumId w:val="8"/>
  </w:num>
  <w:num w:numId="24">
    <w:abstractNumId w:val="11"/>
  </w:num>
  <w:num w:numId="25">
    <w:abstractNumId w:val="35"/>
  </w:num>
  <w:num w:numId="26">
    <w:abstractNumId w:val="17"/>
  </w:num>
  <w:num w:numId="27">
    <w:abstractNumId w:val="26"/>
  </w:num>
  <w:num w:numId="28">
    <w:abstractNumId w:val="28"/>
  </w:num>
  <w:num w:numId="29">
    <w:abstractNumId w:val="9"/>
  </w:num>
  <w:num w:numId="30">
    <w:abstractNumId w:val="10"/>
  </w:num>
  <w:num w:numId="31">
    <w:abstractNumId w:val="21"/>
  </w:num>
  <w:num w:numId="32">
    <w:abstractNumId w:val="33"/>
  </w:num>
  <w:num w:numId="33">
    <w:abstractNumId w:val="24"/>
  </w:num>
  <w:num w:numId="34">
    <w:abstractNumId w:val="5"/>
  </w:num>
  <w:num w:numId="35">
    <w:abstractNumId w:val="24"/>
  </w:num>
  <w:num w:numId="36">
    <w:abstractNumId w:val="12"/>
  </w:num>
  <w:num w:numId="37">
    <w:abstractNumId w:val="32"/>
  </w:num>
  <w:num w:numId="38">
    <w:abstractNumId w:val="22"/>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movePersonalInformation/>
  <w:removeDateAndTime/>
  <w:activeWritingStyle w:appName="MSWord" w:lang="hu-HU" w:vendorID="7" w:dllVersion="513" w:checkStyle="1"/>
  <w:activeWritingStyle w:appName="MSWord" w:lang="hu-HU" w:vendorID="7" w:dllVersion="522" w:checkStyle="1"/>
  <w:activeWritingStyle w:appName="MSWord" w:lang="de-DE" w:vendorID="9" w:dllVersion="512" w:checkStyle="1"/>
  <w:proofState w:spelling="clean" w:grammar="clean"/>
  <w:stylePaneFormatFilter w:val="3F04"/>
  <w:defaultTabStop w:val="3402"/>
  <w:autoHyphenation/>
  <w:hyphenationZone w:val="393"/>
  <w:drawingGridHorizontalSpacing w:val="100"/>
  <w:displayHorizontalDrawingGridEvery w:val="0"/>
  <w:displayVerticalDrawingGridEvery w:val="0"/>
  <w:noPunctuationKerning/>
  <w:characterSpacingControl w:val="doNotCompress"/>
  <w:hdrShapeDefaults>
    <o:shapedefaults v:ext="edit" spidmax="38914" style="mso-width-relative:margin;mso-height-relative:margin" fill="f" fillcolor="white" stroke="f">
      <v:fill color="white" on="f"/>
      <v:stroke on="f"/>
      <v:textbox style="layout-flow:vertical;mso-layout-flow-alt:bottom-to-top"/>
      <o:colormru v:ext="edit" colors="#daf2e0"/>
    </o:shapedefaults>
    <o:shapelayout v:ext="edit">
      <o:idmap v:ext="edit" data="2"/>
    </o:shapelayout>
  </w:hdrShapeDefaults>
  <w:footnotePr>
    <w:footnote w:id="-1"/>
    <w:footnote w:id="0"/>
  </w:footnotePr>
  <w:endnotePr>
    <w:endnote w:id="-1"/>
    <w:endnote w:id="0"/>
  </w:endnotePr>
  <w:compat/>
  <w:rsids>
    <w:rsidRoot w:val="00EE5CAC"/>
    <w:rsid w:val="00001D19"/>
    <w:rsid w:val="00001DDD"/>
    <w:rsid w:val="0000216F"/>
    <w:rsid w:val="000029CC"/>
    <w:rsid w:val="0000301F"/>
    <w:rsid w:val="0000424C"/>
    <w:rsid w:val="00004EFB"/>
    <w:rsid w:val="00006F96"/>
    <w:rsid w:val="0000706A"/>
    <w:rsid w:val="000104EF"/>
    <w:rsid w:val="000112C8"/>
    <w:rsid w:val="000116E6"/>
    <w:rsid w:val="0001173D"/>
    <w:rsid w:val="00012AF2"/>
    <w:rsid w:val="00013C9A"/>
    <w:rsid w:val="00013F4B"/>
    <w:rsid w:val="00013F6A"/>
    <w:rsid w:val="000171CA"/>
    <w:rsid w:val="000173D9"/>
    <w:rsid w:val="0002057E"/>
    <w:rsid w:val="0002094A"/>
    <w:rsid w:val="00020ED1"/>
    <w:rsid w:val="000221D6"/>
    <w:rsid w:val="000226C9"/>
    <w:rsid w:val="00022B4D"/>
    <w:rsid w:val="000236A3"/>
    <w:rsid w:val="000238C9"/>
    <w:rsid w:val="00023CC9"/>
    <w:rsid w:val="0002680D"/>
    <w:rsid w:val="00030C49"/>
    <w:rsid w:val="000312CB"/>
    <w:rsid w:val="00031B49"/>
    <w:rsid w:val="00036150"/>
    <w:rsid w:val="0004087D"/>
    <w:rsid w:val="00040DFB"/>
    <w:rsid w:val="00041BD5"/>
    <w:rsid w:val="00043207"/>
    <w:rsid w:val="00043A07"/>
    <w:rsid w:val="00044E7F"/>
    <w:rsid w:val="00045067"/>
    <w:rsid w:val="00045A62"/>
    <w:rsid w:val="00046D6A"/>
    <w:rsid w:val="00047FA3"/>
    <w:rsid w:val="000510F2"/>
    <w:rsid w:val="00051FA6"/>
    <w:rsid w:val="0005279D"/>
    <w:rsid w:val="00053891"/>
    <w:rsid w:val="00053A0D"/>
    <w:rsid w:val="00054933"/>
    <w:rsid w:val="00057475"/>
    <w:rsid w:val="00057DFB"/>
    <w:rsid w:val="00060075"/>
    <w:rsid w:val="00061953"/>
    <w:rsid w:val="000629CF"/>
    <w:rsid w:val="00062A8E"/>
    <w:rsid w:val="000658BD"/>
    <w:rsid w:val="00065EB4"/>
    <w:rsid w:val="00066EC9"/>
    <w:rsid w:val="00067065"/>
    <w:rsid w:val="00067205"/>
    <w:rsid w:val="00067F22"/>
    <w:rsid w:val="00070404"/>
    <w:rsid w:val="00070CFC"/>
    <w:rsid w:val="00071BE4"/>
    <w:rsid w:val="0007274B"/>
    <w:rsid w:val="00075A29"/>
    <w:rsid w:val="00075D7F"/>
    <w:rsid w:val="00076131"/>
    <w:rsid w:val="00077421"/>
    <w:rsid w:val="00080866"/>
    <w:rsid w:val="00081AEB"/>
    <w:rsid w:val="000837D3"/>
    <w:rsid w:val="0008397B"/>
    <w:rsid w:val="00083D64"/>
    <w:rsid w:val="00087F1D"/>
    <w:rsid w:val="00087F88"/>
    <w:rsid w:val="0009123C"/>
    <w:rsid w:val="00092196"/>
    <w:rsid w:val="000925FB"/>
    <w:rsid w:val="0009428C"/>
    <w:rsid w:val="000970F8"/>
    <w:rsid w:val="00097173"/>
    <w:rsid w:val="0009761D"/>
    <w:rsid w:val="00097625"/>
    <w:rsid w:val="000A0D24"/>
    <w:rsid w:val="000A1053"/>
    <w:rsid w:val="000A1F21"/>
    <w:rsid w:val="000A25B3"/>
    <w:rsid w:val="000A2A7C"/>
    <w:rsid w:val="000A4AB8"/>
    <w:rsid w:val="000A601E"/>
    <w:rsid w:val="000A72B2"/>
    <w:rsid w:val="000B0205"/>
    <w:rsid w:val="000B0E4C"/>
    <w:rsid w:val="000B1234"/>
    <w:rsid w:val="000B158A"/>
    <w:rsid w:val="000B1AD8"/>
    <w:rsid w:val="000B3039"/>
    <w:rsid w:val="000B38E6"/>
    <w:rsid w:val="000B52E6"/>
    <w:rsid w:val="000B66C2"/>
    <w:rsid w:val="000C0A7E"/>
    <w:rsid w:val="000C0E5C"/>
    <w:rsid w:val="000C27B6"/>
    <w:rsid w:val="000C52B8"/>
    <w:rsid w:val="000D0410"/>
    <w:rsid w:val="000D0B09"/>
    <w:rsid w:val="000D2875"/>
    <w:rsid w:val="000D376F"/>
    <w:rsid w:val="000D3BA6"/>
    <w:rsid w:val="000D48C2"/>
    <w:rsid w:val="000D5527"/>
    <w:rsid w:val="000D5EAB"/>
    <w:rsid w:val="000D6578"/>
    <w:rsid w:val="000E00F4"/>
    <w:rsid w:val="000E02BE"/>
    <w:rsid w:val="000E047A"/>
    <w:rsid w:val="000E1542"/>
    <w:rsid w:val="000E258B"/>
    <w:rsid w:val="000E2B80"/>
    <w:rsid w:val="000E2F1A"/>
    <w:rsid w:val="000E3514"/>
    <w:rsid w:val="000E3ACF"/>
    <w:rsid w:val="000E3FFE"/>
    <w:rsid w:val="000E6871"/>
    <w:rsid w:val="000E68D6"/>
    <w:rsid w:val="000F0CF3"/>
    <w:rsid w:val="000F266B"/>
    <w:rsid w:val="000F3190"/>
    <w:rsid w:val="000F3B33"/>
    <w:rsid w:val="000F5429"/>
    <w:rsid w:val="0010128C"/>
    <w:rsid w:val="0010200F"/>
    <w:rsid w:val="00102173"/>
    <w:rsid w:val="001026C8"/>
    <w:rsid w:val="0010273F"/>
    <w:rsid w:val="00102A70"/>
    <w:rsid w:val="00103FDF"/>
    <w:rsid w:val="00104A8A"/>
    <w:rsid w:val="001102B7"/>
    <w:rsid w:val="001102FE"/>
    <w:rsid w:val="001107CB"/>
    <w:rsid w:val="0011290D"/>
    <w:rsid w:val="0011356F"/>
    <w:rsid w:val="00115198"/>
    <w:rsid w:val="00115859"/>
    <w:rsid w:val="00117073"/>
    <w:rsid w:val="001173B0"/>
    <w:rsid w:val="001176BC"/>
    <w:rsid w:val="001178F2"/>
    <w:rsid w:val="00117A63"/>
    <w:rsid w:val="0012051D"/>
    <w:rsid w:val="00120AD6"/>
    <w:rsid w:val="00120E05"/>
    <w:rsid w:val="00120E6A"/>
    <w:rsid w:val="00121A30"/>
    <w:rsid w:val="00124278"/>
    <w:rsid w:val="00124324"/>
    <w:rsid w:val="001243CC"/>
    <w:rsid w:val="00124AAB"/>
    <w:rsid w:val="00124F80"/>
    <w:rsid w:val="00126CFE"/>
    <w:rsid w:val="0013653F"/>
    <w:rsid w:val="00136703"/>
    <w:rsid w:val="00141207"/>
    <w:rsid w:val="00141499"/>
    <w:rsid w:val="00143511"/>
    <w:rsid w:val="0014383E"/>
    <w:rsid w:val="00145F3D"/>
    <w:rsid w:val="00146174"/>
    <w:rsid w:val="0014650A"/>
    <w:rsid w:val="00146D26"/>
    <w:rsid w:val="00147559"/>
    <w:rsid w:val="001516A4"/>
    <w:rsid w:val="00152F53"/>
    <w:rsid w:val="00153BB8"/>
    <w:rsid w:val="0016041A"/>
    <w:rsid w:val="00162133"/>
    <w:rsid w:val="00170ED3"/>
    <w:rsid w:val="001711E0"/>
    <w:rsid w:val="00172943"/>
    <w:rsid w:val="00176263"/>
    <w:rsid w:val="00177A33"/>
    <w:rsid w:val="00177FB5"/>
    <w:rsid w:val="001810A9"/>
    <w:rsid w:val="00181260"/>
    <w:rsid w:val="00182EBA"/>
    <w:rsid w:val="00184CDA"/>
    <w:rsid w:val="00185116"/>
    <w:rsid w:val="0018543C"/>
    <w:rsid w:val="00185D59"/>
    <w:rsid w:val="00186059"/>
    <w:rsid w:val="00190515"/>
    <w:rsid w:val="00193107"/>
    <w:rsid w:val="001931A0"/>
    <w:rsid w:val="0019532B"/>
    <w:rsid w:val="001964D6"/>
    <w:rsid w:val="00197460"/>
    <w:rsid w:val="001975A4"/>
    <w:rsid w:val="001A04D4"/>
    <w:rsid w:val="001A0AB5"/>
    <w:rsid w:val="001A0E35"/>
    <w:rsid w:val="001A17F5"/>
    <w:rsid w:val="001A3220"/>
    <w:rsid w:val="001A496E"/>
    <w:rsid w:val="001A4B65"/>
    <w:rsid w:val="001A560C"/>
    <w:rsid w:val="001B0A45"/>
    <w:rsid w:val="001B1B73"/>
    <w:rsid w:val="001B29DF"/>
    <w:rsid w:val="001B2F60"/>
    <w:rsid w:val="001B37FC"/>
    <w:rsid w:val="001B47B2"/>
    <w:rsid w:val="001B5E31"/>
    <w:rsid w:val="001C16AA"/>
    <w:rsid w:val="001C2602"/>
    <w:rsid w:val="001C35A2"/>
    <w:rsid w:val="001C5664"/>
    <w:rsid w:val="001C585E"/>
    <w:rsid w:val="001C5FE9"/>
    <w:rsid w:val="001C679A"/>
    <w:rsid w:val="001D05D9"/>
    <w:rsid w:val="001D0E85"/>
    <w:rsid w:val="001D1CB8"/>
    <w:rsid w:val="001D1E70"/>
    <w:rsid w:val="001D21E0"/>
    <w:rsid w:val="001D3EE1"/>
    <w:rsid w:val="001D42EE"/>
    <w:rsid w:val="001D51CB"/>
    <w:rsid w:val="001D5DBF"/>
    <w:rsid w:val="001E0110"/>
    <w:rsid w:val="001E2CF4"/>
    <w:rsid w:val="001E2EE0"/>
    <w:rsid w:val="001E4E0A"/>
    <w:rsid w:val="001E58AD"/>
    <w:rsid w:val="001E6CC5"/>
    <w:rsid w:val="001E780C"/>
    <w:rsid w:val="001E7EE9"/>
    <w:rsid w:val="001F015F"/>
    <w:rsid w:val="001F4267"/>
    <w:rsid w:val="001F61B7"/>
    <w:rsid w:val="001F62CB"/>
    <w:rsid w:val="001F6726"/>
    <w:rsid w:val="0020059A"/>
    <w:rsid w:val="00201F4F"/>
    <w:rsid w:val="00202AED"/>
    <w:rsid w:val="00204D57"/>
    <w:rsid w:val="00206423"/>
    <w:rsid w:val="00207946"/>
    <w:rsid w:val="00210684"/>
    <w:rsid w:val="002107C5"/>
    <w:rsid w:val="00210928"/>
    <w:rsid w:val="00211027"/>
    <w:rsid w:val="00211886"/>
    <w:rsid w:val="00211A00"/>
    <w:rsid w:val="00211CC5"/>
    <w:rsid w:val="00212260"/>
    <w:rsid w:val="00212838"/>
    <w:rsid w:val="00215082"/>
    <w:rsid w:val="002167B5"/>
    <w:rsid w:val="00216C97"/>
    <w:rsid w:val="00217225"/>
    <w:rsid w:val="0021734B"/>
    <w:rsid w:val="0021759E"/>
    <w:rsid w:val="00217CC2"/>
    <w:rsid w:val="00217E12"/>
    <w:rsid w:val="0022006B"/>
    <w:rsid w:val="002212F7"/>
    <w:rsid w:val="0022280C"/>
    <w:rsid w:val="00222A11"/>
    <w:rsid w:val="00223100"/>
    <w:rsid w:val="0022453D"/>
    <w:rsid w:val="002251E1"/>
    <w:rsid w:val="0022540A"/>
    <w:rsid w:val="0022572B"/>
    <w:rsid w:val="00226E30"/>
    <w:rsid w:val="00231100"/>
    <w:rsid w:val="0023233B"/>
    <w:rsid w:val="00232C53"/>
    <w:rsid w:val="0023440F"/>
    <w:rsid w:val="0023510A"/>
    <w:rsid w:val="002365FB"/>
    <w:rsid w:val="00240048"/>
    <w:rsid w:val="00242900"/>
    <w:rsid w:val="00242CEE"/>
    <w:rsid w:val="0024404B"/>
    <w:rsid w:val="00244526"/>
    <w:rsid w:val="002458F7"/>
    <w:rsid w:val="002466B6"/>
    <w:rsid w:val="00246816"/>
    <w:rsid w:val="00247E95"/>
    <w:rsid w:val="0025082D"/>
    <w:rsid w:val="0025221B"/>
    <w:rsid w:val="00253024"/>
    <w:rsid w:val="00260168"/>
    <w:rsid w:val="0026128E"/>
    <w:rsid w:val="00261E67"/>
    <w:rsid w:val="00262675"/>
    <w:rsid w:val="002632C3"/>
    <w:rsid w:val="00264639"/>
    <w:rsid w:val="00264EC6"/>
    <w:rsid w:val="0026542D"/>
    <w:rsid w:val="0026552B"/>
    <w:rsid w:val="0026661D"/>
    <w:rsid w:val="00267ECF"/>
    <w:rsid w:val="00271A69"/>
    <w:rsid w:val="0027268A"/>
    <w:rsid w:val="0027287F"/>
    <w:rsid w:val="002729B2"/>
    <w:rsid w:val="0027345C"/>
    <w:rsid w:val="00273B06"/>
    <w:rsid w:val="002741A8"/>
    <w:rsid w:val="002777DE"/>
    <w:rsid w:val="00280B8E"/>
    <w:rsid w:val="00282AF0"/>
    <w:rsid w:val="00284226"/>
    <w:rsid w:val="002844E9"/>
    <w:rsid w:val="00284A88"/>
    <w:rsid w:val="00284B9A"/>
    <w:rsid w:val="0028636A"/>
    <w:rsid w:val="0028773B"/>
    <w:rsid w:val="00287E46"/>
    <w:rsid w:val="002943C7"/>
    <w:rsid w:val="00295521"/>
    <w:rsid w:val="00296C1A"/>
    <w:rsid w:val="00297059"/>
    <w:rsid w:val="00297E39"/>
    <w:rsid w:val="002A0676"/>
    <w:rsid w:val="002A0DF0"/>
    <w:rsid w:val="002A188C"/>
    <w:rsid w:val="002A19BB"/>
    <w:rsid w:val="002A3E44"/>
    <w:rsid w:val="002A3FBC"/>
    <w:rsid w:val="002A6543"/>
    <w:rsid w:val="002A6CB3"/>
    <w:rsid w:val="002A70AC"/>
    <w:rsid w:val="002A7777"/>
    <w:rsid w:val="002A7E6C"/>
    <w:rsid w:val="002B1513"/>
    <w:rsid w:val="002B1752"/>
    <w:rsid w:val="002B1A50"/>
    <w:rsid w:val="002B2129"/>
    <w:rsid w:val="002B2579"/>
    <w:rsid w:val="002B288A"/>
    <w:rsid w:val="002B3F37"/>
    <w:rsid w:val="002B5E9C"/>
    <w:rsid w:val="002B6127"/>
    <w:rsid w:val="002B7109"/>
    <w:rsid w:val="002B7EA9"/>
    <w:rsid w:val="002B7F64"/>
    <w:rsid w:val="002C06BE"/>
    <w:rsid w:val="002C29A7"/>
    <w:rsid w:val="002C3807"/>
    <w:rsid w:val="002C49D7"/>
    <w:rsid w:val="002C5069"/>
    <w:rsid w:val="002C5504"/>
    <w:rsid w:val="002C6883"/>
    <w:rsid w:val="002D0E4C"/>
    <w:rsid w:val="002D2612"/>
    <w:rsid w:val="002D3C76"/>
    <w:rsid w:val="002D748A"/>
    <w:rsid w:val="002E2152"/>
    <w:rsid w:val="002E2721"/>
    <w:rsid w:val="002E2C33"/>
    <w:rsid w:val="002E3828"/>
    <w:rsid w:val="002E5048"/>
    <w:rsid w:val="002E70E9"/>
    <w:rsid w:val="002F2B9F"/>
    <w:rsid w:val="002F2D71"/>
    <w:rsid w:val="002F350F"/>
    <w:rsid w:val="002F3CC5"/>
    <w:rsid w:val="002F5CC0"/>
    <w:rsid w:val="002F7134"/>
    <w:rsid w:val="002F783E"/>
    <w:rsid w:val="002F7BCD"/>
    <w:rsid w:val="00301997"/>
    <w:rsid w:val="00301E88"/>
    <w:rsid w:val="00302E0C"/>
    <w:rsid w:val="00303496"/>
    <w:rsid w:val="00304EE4"/>
    <w:rsid w:val="003052DC"/>
    <w:rsid w:val="00305476"/>
    <w:rsid w:val="00306FDB"/>
    <w:rsid w:val="00307400"/>
    <w:rsid w:val="00307749"/>
    <w:rsid w:val="0031024E"/>
    <w:rsid w:val="00311046"/>
    <w:rsid w:val="00311478"/>
    <w:rsid w:val="00312159"/>
    <w:rsid w:val="003124E2"/>
    <w:rsid w:val="00313FF4"/>
    <w:rsid w:val="00314346"/>
    <w:rsid w:val="003147E0"/>
    <w:rsid w:val="00315341"/>
    <w:rsid w:val="00317D20"/>
    <w:rsid w:val="00321377"/>
    <w:rsid w:val="00322270"/>
    <w:rsid w:val="00323818"/>
    <w:rsid w:val="0032473A"/>
    <w:rsid w:val="00325CC7"/>
    <w:rsid w:val="0032612F"/>
    <w:rsid w:val="00330D1B"/>
    <w:rsid w:val="00331710"/>
    <w:rsid w:val="00331CFD"/>
    <w:rsid w:val="003356DD"/>
    <w:rsid w:val="00335BE2"/>
    <w:rsid w:val="003365AF"/>
    <w:rsid w:val="0033714E"/>
    <w:rsid w:val="003378EC"/>
    <w:rsid w:val="00337C2E"/>
    <w:rsid w:val="00337E1C"/>
    <w:rsid w:val="00341029"/>
    <w:rsid w:val="0034112C"/>
    <w:rsid w:val="00343C95"/>
    <w:rsid w:val="00344E53"/>
    <w:rsid w:val="00347933"/>
    <w:rsid w:val="00347CC7"/>
    <w:rsid w:val="0035020C"/>
    <w:rsid w:val="00354441"/>
    <w:rsid w:val="0035480F"/>
    <w:rsid w:val="00354916"/>
    <w:rsid w:val="00355EF6"/>
    <w:rsid w:val="00356651"/>
    <w:rsid w:val="0035787A"/>
    <w:rsid w:val="00360967"/>
    <w:rsid w:val="003609A1"/>
    <w:rsid w:val="00360D6C"/>
    <w:rsid w:val="00360FB8"/>
    <w:rsid w:val="00361F14"/>
    <w:rsid w:val="003665CC"/>
    <w:rsid w:val="003718EB"/>
    <w:rsid w:val="003727D4"/>
    <w:rsid w:val="00372C95"/>
    <w:rsid w:val="00374E45"/>
    <w:rsid w:val="00375E49"/>
    <w:rsid w:val="00377826"/>
    <w:rsid w:val="00381049"/>
    <w:rsid w:val="003819B6"/>
    <w:rsid w:val="0038282A"/>
    <w:rsid w:val="00385D3D"/>
    <w:rsid w:val="00387735"/>
    <w:rsid w:val="00390072"/>
    <w:rsid w:val="00392033"/>
    <w:rsid w:val="003933AF"/>
    <w:rsid w:val="00393C2E"/>
    <w:rsid w:val="00394B16"/>
    <w:rsid w:val="00396CE8"/>
    <w:rsid w:val="00396E59"/>
    <w:rsid w:val="00397597"/>
    <w:rsid w:val="003A000D"/>
    <w:rsid w:val="003A182E"/>
    <w:rsid w:val="003A1D2E"/>
    <w:rsid w:val="003A1E4F"/>
    <w:rsid w:val="003A1F1E"/>
    <w:rsid w:val="003A205B"/>
    <w:rsid w:val="003A2C9E"/>
    <w:rsid w:val="003A2E92"/>
    <w:rsid w:val="003A5461"/>
    <w:rsid w:val="003A6414"/>
    <w:rsid w:val="003A6EE5"/>
    <w:rsid w:val="003A75ED"/>
    <w:rsid w:val="003B05E0"/>
    <w:rsid w:val="003B31C9"/>
    <w:rsid w:val="003B3C6C"/>
    <w:rsid w:val="003B62ED"/>
    <w:rsid w:val="003B7183"/>
    <w:rsid w:val="003C2200"/>
    <w:rsid w:val="003C2B76"/>
    <w:rsid w:val="003C371A"/>
    <w:rsid w:val="003C3D1B"/>
    <w:rsid w:val="003C3F01"/>
    <w:rsid w:val="003C44C7"/>
    <w:rsid w:val="003C4859"/>
    <w:rsid w:val="003C5828"/>
    <w:rsid w:val="003C7574"/>
    <w:rsid w:val="003C7EEA"/>
    <w:rsid w:val="003D2D3B"/>
    <w:rsid w:val="003D2F7B"/>
    <w:rsid w:val="003D387B"/>
    <w:rsid w:val="003D4453"/>
    <w:rsid w:val="003D455F"/>
    <w:rsid w:val="003D51B7"/>
    <w:rsid w:val="003D55B4"/>
    <w:rsid w:val="003D5A91"/>
    <w:rsid w:val="003D69FC"/>
    <w:rsid w:val="003D7F36"/>
    <w:rsid w:val="003E06B1"/>
    <w:rsid w:val="003E0B6A"/>
    <w:rsid w:val="003E1739"/>
    <w:rsid w:val="003E24CC"/>
    <w:rsid w:val="003E2943"/>
    <w:rsid w:val="003E315A"/>
    <w:rsid w:val="003E33BB"/>
    <w:rsid w:val="003E7504"/>
    <w:rsid w:val="003E75E6"/>
    <w:rsid w:val="003E7766"/>
    <w:rsid w:val="003E7B1B"/>
    <w:rsid w:val="003E7DFA"/>
    <w:rsid w:val="003F1EA3"/>
    <w:rsid w:val="003F2516"/>
    <w:rsid w:val="003F27B8"/>
    <w:rsid w:val="003F2E25"/>
    <w:rsid w:val="003F3236"/>
    <w:rsid w:val="003F32F3"/>
    <w:rsid w:val="003F34BB"/>
    <w:rsid w:val="003F69F6"/>
    <w:rsid w:val="003F7953"/>
    <w:rsid w:val="00402D8D"/>
    <w:rsid w:val="004035BF"/>
    <w:rsid w:val="004043BE"/>
    <w:rsid w:val="004046CE"/>
    <w:rsid w:val="0040478B"/>
    <w:rsid w:val="00404CAF"/>
    <w:rsid w:val="0040544A"/>
    <w:rsid w:val="004059D6"/>
    <w:rsid w:val="00405ACC"/>
    <w:rsid w:val="00406274"/>
    <w:rsid w:val="00406E57"/>
    <w:rsid w:val="00407613"/>
    <w:rsid w:val="0040792B"/>
    <w:rsid w:val="00407C26"/>
    <w:rsid w:val="0041342B"/>
    <w:rsid w:val="00413B4A"/>
    <w:rsid w:val="00413B83"/>
    <w:rsid w:val="00413E6F"/>
    <w:rsid w:val="00415EDE"/>
    <w:rsid w:val="004168A9"/>
    <w:rsid w:val="00420008"/>
    <w:rsid w:val="0042018D"/>
    <w:rsid w:val="004206FE"/>
    <w:rsid w:val="00422E0D"/>
    <w:rsid w:val="0042429D"/>
    <w:rsid w:val="0042431D"/>
    <w:rsid w:val="004246DD"/>
    <w:rsid w:val="00426076"/>
    <w:rsid w:val="00426899"/>
    <w:rsid w:val="004312CC"/>
    <w:rsid w:val="00433619"/>
    <w:rsid w:val="0043575B"/>
    <w:rsid w:val="00435C3F"/>
    <w:rsid w:val="00435E00"/>
    <w:rsid w:val="004400E8"/>
    <w:rsid w:val="00440177"/>
    <w:rsid w:val="00441B65"/>
    <w:rsid w:val="0044205D"/>
    <w:rsid w:val="00444242"/>
    <w:rsid w:val="0044598B"/>
    <w:rsid w:val="00445CB7"/>
    <w:rsid w:val="00445CC4"/>
    <w:rsid w:val="004479EC"/>
    <w:rsid w:val="00447E91"/>
    <w:rsid w:val="0045189A"/>
    <w:rsid w:val="00455004"/>
    <w:rsid w:val="0045563A"/>
    <w:rsid w:val="0045563D"/>
    <w:rsid w:val="00457683"/>
    <w:rsid w:val="004604FD"/>
    <w:rsid w:val="004606DE"/>
    <w:rsid w:val="00461A8A"/>
    <w:rsid w:val="00461C63"/>
    <w:rsid w:val="00463B25"/>
    <w:rsid w:val="00465055"/>
    <w:rsid w:val="004651D8"/>
    <w:rsid w:val="004653E0"/>
    <w:rsid w:val="0046625D"/>
    <w:rsid w:val="00466848"/>
    <w:rsid w:val="004714F9"/>
    <w:rsid w:val="00471B5C"/>
    <w:rsid w:val="004754E5"/>
    <w:rsid w:val="00476657"/>
    <w:rsid w:val="0047779D"/>
    <w:rsid w:val="00477AA8"/>
    <w:rsid w:val="004812EA"/>
    <w:rsid w:val="004812FE"/>
    <w:rsid w:val="00481655"/>
    <w:rsid w:val="00481A6A"/>
    <w:rsid w:val="00482864"/>
    <w:rsid w:val="004846A2"/>
    <w:rsid w:val="004850D4"/>
    <w:rsid w:val="00486786"/>
    <w:rsid w:val="004902B5"/>
    <w:rsid w:val="00490775"/>
    <w:rsid w:val="0049202E"/>
    <w:rsid w:val="00492607"/>
    <w:rsid w:val="0049268A"/>
    <w:rsid w:val="004935E2"/>
    <w:rsid w:val="00495D56"/>
    <w:rsid w:val="00495D70"/>
    <w:rsid w:val="004A09A3"/>
    <w:rsid w:val="004A0B95"/>
    <w:rsid w:val="004A0BC4"/>
    <w:rsid w:val="004A12C7"/>
    <w:rsid w:val="004A168C"/>
    <w:rsid w:val="004A3834"/>
    <w:rsid w:val="004A49C3"/>
    <w:rsid w:val="004A5228"/>
    <w:rsid w:val="004A60D4"/>
    <w:rsid w:val="004A61F7"/>
    <w:rsid w:val="004A7A3F"/>
    <w:rsid w:val="004A7CB9"/>
    <w:rsid w:val="004B06D0"/>
    <w:rsid w:val="004B0D07"/>
    <w:rsid w:val="004B39BE"/>
    <w:rsid w:val="004B39E9"/>
    <w:rsid w:val="004B551F"/>
    <w:rsid w:val="004B7157"/>
    <w:rsid w:val="004B737D"/>
    <w:rsid w:val="004C235A"/>
    <w:rsid w:val="004C238C"/>
    <w:rsid w:val="004C5637"/>
    <w:rsid w:val="004C5A58"/>
    <w:rsid w:val="004D0522"/>
    <w:rsid w:val="004D0C68"/>
    <w:rsid w:val="004D0CF4"/>
    <w:rsid w:val="004D14B8"/>
    <w:rsid w:val="004D1652"/>
    <w:rsid w:val="004D1D28"/>
    <w:rsid w:val="004D4F85"/>
    <w:rsid w:val="004D5284"/>
    <w:rsid w:val="004D6C9C"/>
    <w:rsid w:val="004D702D"/>
    <w:rsid w:val="004D72FF"/>
    <w:rsid w:val="004E066B"/>
    <w:rsid w:val="004E5C31"/>
    <w:rsid w:val="004E603B"/>
    <w:rsid w:val="004E60C9"/>
    <w:rsid w:val="004E722C"/>
    <w:rsid w:val="004E76BB"/>
    <w:rsid w:val="004F0031"/>
    <w:rsid w:val="004F2144"/>
    <w:rsid w:val="004F2360"/>
    <w:rsid w:val="004F44E5"/>
    <w:rsid w:val="004F4501"/>
    <w:rsid w:val="004F53BB"/>
    <w:rsid w:val="004F56B8"/>
    <w:rsid w:val="004F58BA"/>
    <w:rsid w:val="004F68D6"/>
    <w:rsid w:val="004F6E46"/>
    <w:rsid w:val="005000A2"/>
    <w:rsid w:val="00501097"/>
    <w:rsid w:val="0050155E"/>
    <w:rsid w:val="0050255F"/>
    <w:rsid w:val="005027EE"/>
    <w:rsid w:val="00502D84"/>
    <w:rsid w:val="00502DBA"/>
    <w:rsid w:val="00503BB3"/>
    <w:rsid w:val="00506732"/>
    <w:rsid w:val="0051135A"/>
    <w:rsid w:val="00511B72"/>
    <w:rsid w:val="00514581"/>
    <w:rsid w:val="00514767"/>
    <w:rsid w:val="0052161C"/>
    <w:rsid w:val="00522340"/>
    <w:rsid w:val="00523152"/>
    <w:rsid w:val="00523378"/>
    <w:rsid w:val="00524D0E"/>
    <w:rsid w:val="0052539C"/>
    <w:rsid w:val="005319D5"/>
    <w:rsid w:val="00531E88"/>
    <w:rsid w:val="00532142"/>
    <w:rsid w:val="005333EA"/>
    <w:rsid w:val="00534527"/>
    <w:rsid w:val="00535D93"/>
    <w:rsid w:val="00536124"/>
    <w:rsid w:val="00536449"/>
    <w:rsid w:val="00536798"/>
    <w:rsid w:val="0053761B"/>
    <w:rsid w:val="005403C7"/>
    <w:rsid w:val="005430D9"/>
    <w:rsid w:val="00543736"/>
    <w:rsid w:val="00544A1A"/>
    <w:rsid w:val="005450F1"/>
    <w:rsid w:val="0054600F"/>
    <w:rsid w:val="005466BC"/>
    <w:rsid w:val="005508BB"/>
    <w:rsid w:val="00551E2B"/>
    <w:rsid w:val="00551EA7"/>
    <w:rsid w:val="00552389"/>
    <w:rsid w:val="00553A19"/>
    <w:rsid w:val="005545DA"/>
    <w:rsid w:val="00554AAC"/>
    <w:rsid w:val="00556512"/>
    <w:rsid w:val="0055668F"/>
    <w:rsid w:val="00556B86"/>
    <w:rsid w:val="0055711F"/>
    <w:rsid w:val="005574B5"/>
    <w:rsid w:val="00557C09"/>
    <w:rsid w:val="00561BF6"/>
    <w:rsid w:val="00562CE6"/>
    <w:rsid w:val="0056470D"/>
    <w:rsid w:val="005677AB"/>
    <w:rsid w:val="00567BEB"/>
    <w:rsid w:val="00570A46"/>
    <w:rsid w:val="005710D4"/>
    <w:rsid w:val="0057202B"/>
    <w:rsid w:val="00572076"/>
    <w:rsid w:val="00572CAD"/>
    <w:rsid w:val="00573C5C"/>
    <w:rsid w:val="00574248"/>
    <w:rsid w:val="00574F65"/>
    <w:rsid w:val="0057519D"/>
    <w:rsid w:val="00575D92"/>
    <w:rsid w:val="00576778"/>
    <w:rsid w:val="00576D36"/>
    <w:rsid w:val="00582A2C"/>
    <w:rsid w:val="0058311C"/>
    <w:rsid w:val="005844A8"/>
    <w:rsid w:val="00584EA0"/>
    <w:rsid w:val="0058793C"/>
    <w:rsid w:val="00587CF9"/>
    <w:rsid w:val="0059148B"/>
    <w:rsid w:val="00591C87"/>
    <w:rsid w:val="005931F9"/>
    <w:rsid w:val="0059394C"/>
    <w:rsid w:val="00593AE2"/>
    <w:rsid w:val="005963B5"/>
    <w:rsid w:val="0059671A"/>
    <w:rsid w:val="00596A6F"/>
    <w:rsid w:val="005A0188"/>
    <w:rsid w:val="005A2011"/>
    <w:rsid w:val="005A2699"/>
    <w:rsid w:val="005A291B"/>
    <w:rsid w:val="005A470D"/>
    <w:rsid w:val="005A56C5"/>
    <w:rsid w:val="005A5915"/>
    <w:rsid w:val="005A6348"/>
    <w:rsid w:val="005A7BDD"/>
    <w:rsid w:val="005B08BF"/>
    <w:rsid w:val="005B0ABB"/>
    <w:rsid w:val="005B11C6"/>
    <w:rsid w:val="005B1775"/>
    <w:rsid w:val="005B2303"/>
    <w:rsid w:val="005B2F14"/>
    <w:rsid w:val="005B3697"/>
    <w:rsid w:val="005B3ABA"/>
    <w:rsid w:val="005B49F8"/>
    <w:rsid w:val="005B5205"/>
    <w:rsid w:val="005B5E42"/>
    <w:rsid w:val="005B6455"/>
    <w:rsid w:val="005B690D"/>
    <w:rsid w:val="005B6BD5"/>
    <w:rsid w:val="005B7230"/>
    <w:rsid w:val="005C2FD6"/>
    <w:rsid w:val="005C3ACC"/>
    <w:rsid w:val="005C3E86"/>
    <w:rsid w:val="005C60E3"/>
    <w:rsid w:val="005D0F16"/>
    <w:rsid w:val="005D3776"/>
    <w:rsid w:val="005D3B1B"/>
    <w:rsid w:val="005D4C39"/>
    <w:rsid w:val="005D5C47"/>
    <w:rsid w:val="005D6BD2"/>
    <w:rsid w:val="005E05ED"/>
    <w:rsid w:val="005E0FF9"/>
    <w:rsid w:val="005E2849"/>
    <w:rsid w:val="005E37C5"/>
    <w:rsid w:val="005E3BEA"/>
    <w:rsid w:val="005E5031"/>
    <w:rsid w:val="005E5E25"/>
    <w:rsid w:val="005E6E8D"/>
    <w:rsid w:val="005E7041"/>
    <w:rsid w:val="005E716C"/>
    <w:rsid w:val="005E718B"/>
    <w:rsid w:val="005F1B22"/>
    <w:rsid w:val="005F341D"/>
    <w:rsid w:val="005F3674"/>
    <w:rsid w:val="005F3DB1"/>
    <w:rsid w:val="005F5FF1"/>
    <w:rsid w:val="005F72A6"/>
    <w:rsid w:val="006003D3"/>
    <w:rsid w:val="0060073E"/>
    <w:rsid w:val="00600BF3"/>
    <w:rsid w:val="006019B5"/>
    <w:rsid w:val="00602F64"/>
    <w:rsid w:val="006038D6"/>
    <w:rsid w:val="00603E83"/>
    <w:rsid w:val="00603EA6"/>
    <w:rsid w:val="006042A6"/>
    <w:rsid w:val="00604828"/>
    <w:rsid w:val="00604BBD"/>
    <w:rsid w:val="00604C07"/>
    <w:rsid w:val="00605139"/>
    <w:rsid w:val="00605A24"/>
    <w:rsid w:val="0060666A"/>
    <w:rsid w:val="0060734B"/>
    <w:rsid w:val="006074D4"/>
    <w:rsid w:val="006075B2"/>
    <w:rsid w:val="00607641"/>
    <w:rsid w:val="00607669"/>
    <w:rsid w:val="0061153A"/>
    <w:rsid w:val="00611572"/>
    <w:rsid w:val="0061280F"/>
    <w:rsid w:val="00612CA6"/>
    <w:rsid w:val="00614059"/>
    <w:rsid w:val="0061701C"/>
    <w:rsid w:val="00621567"/>
    <w:rsid w:val="00621C19"/>
    <w:rsid w:val="0062215C"/>
    <w:rsid w:val="00622455"/>
    <w:rsid w:val="00623C38"/>
    <w:rsid w:val="006240CB"/>
    <w:rsid w:val="00624860"/>
    <w:rsid w:val="00626545"/>
    <w:rsid w:val="006267DE"/>
    <w:rsid w:val="00626987"/>
    <w:rsid w:val="006320C0"/>
    <w:rsid w:val="00637532"/>
    <w:rsid w:val="00640FB2"/>
    <w:rsid w:val="0064188A"/>
    <w:rsid w:val="00641DF7"/>
    <w:rsid w:val="00643EFE"/>
    <w:rsid w:val="006442B5"/>
    <w:rsid w:val="006474D6"/>
    <w:rsid w:val="00647626"/>
    <w:rsid w:val="00647954"/>
    <w:rsid w:val="00651CB1"/>
    <w:rsid w:val="00652CA1"/>
    <w:rsid w:val="00653548"/>
    <w:rsid w:val="00655B73"/>
    <w:rsid w:val="0065636C"/>
    <w:rsid w:val="006573C2"/>
    <w:rsid w:val="006579B9"/>
    <w:rsid w:val="00657CB4"/>
    <w:rsid w:val="006603F4"/>
    <w:rsid w:val="006618BC"/>
    <w:rsid w:val="00661978"/>
    <w:rsid w:val="00661BF0"/>
    <w:rsid w:val="006622AF"/>
    <w:rsid w:val="006626E2"/>
    <w:rsid w:val="00662906"/>
    <w:rsid w:val="00662ECF"/>
    <w:rsid w:val="00663B5B"/>
    <w:rsid w:val="00663CEB"/>
    <w:rsid w:val="006664F1"/>
    <w:rsid w:val="006679B4"/>
    <w:rsid w:val="00667F7F"/>
    <w:rsid w:val="00672766"/>
    <w:rsid w:val="00672E5F"/>
    <w:rsid w:val="006735DE"/>
    <w:rsid w:val="006737D6"/>
    <w:rsid w:val="00673C9E"/>
    <w:rsid w:val="00677691"/>
    <w:rsid w:val="006778C0"/>
    <w:rsid w:val="006820D9"/>
    <w:rsid w:val="00682926"/>
    <w:rsid w:val="0068313A"/>
    <w:rsid w:val="00683321"/>
    <w:rsid w:val="006841AD"/>
    <w:rsid w:val="006877AB"/>
    <w:rsid w:val="00687C7B"/>
    <w:rsid w:val="00687D8C"/>
    <w:rsid w:val="0069045D"/>
    <w:rsid w:val="00692303"/>
    <w:rsid w:val="00692C7D"/>
    <w:rsid w:val="00693492"/>
    <w:rsid w:val="0069429B"/>
    <w:rsid w:val="00694340"/>
    <w:rsid w:val="0069447D"/>
    <w:rsid w:val="00695AD0"/>
    <w:rsid w:val="00696436"/>
    <w:rsid w:val="0069713E"/>
    <w:rsid w:val="0069743B"/>
    <w:rsid w:val="00697F0F"/>
    <w:rsid w:val="006A070E"/>
    <w:rsid w:val="006A14D3"/>
    <w:rsid w:val="006A3A70"/>
    <w:rsid w:val="006A3D62"/>
    <w:rsid w:val="006A3D88"/>
    <w:rsid w:val="006A47C9"/>
    <w:rsid w:val="006A7483"/>
    <w:rsid w:val="006A7501"/>
    <w:rsid w:val="006A7966"/>
    <w:rsid w:val="006A79D8"/>
    <w:rsid w:val="006B0925"/>
    <w:rsid w:val="006B0FF7"/>
    <w:rsid w:val="006B2823"/>
    <w:rsid w:val="006B4135"/>
    <w:rsid w:val="006B61D6"/>
    <w:rsid w:val="006B661A"/>
    <w:rsid w:val="006B7B8A"/>
    <w:rsid w:val="006C1EA1"/>
    <w:rsid w:val="006C36F0"/>
    <w:rsid w:val="006C3D82"/>
    <w:rsid w:val="006C4C24"/>
    <w:rsid w:val="006C4F27"/>
    <w:rsid w:val="006C5123"/>
    <w:rsid w:val="006C6256"/>
    <w:rsid w:val="006C6BC8"/>
    <w:rsid w:val="006C6F98"/>
    <w:rsid w:val="006D13B9"/>
    <w:rsid w:val="006D2196"/>
    <w:rsid w:val="006D3748"/>
    <w:rsid w:val="006D43FF"/>
    <w:rsid w:val="006D47F1"/>
    <w:rsid w:val="006D4B58"/>
    <w:rsid w:val="006D54F8"/>
    <w:rsid w:val="006D66F2"/>
    <w:rsid w:val="006E2D9F"/>
    <w:rsid w:val="006E3378"/>
    <w:rsid w:val="006E5DAB"/>
    <w:rsid w:val="006E5FF8"/>
    <w:rsid w:val="006E78D6"/>
    <w:rsid w:val="006F282F"/>
    <w:rsid w:val="006F3238"/>
    <w:rsid w:val="006F4836"/>
    <w:rsid w:val="006F5DCF"/>
    <w:rsid w:val="006F61FA"/>
    <w:rsid w:val="006F729C"/>
    <w:rsid w:val="006F7517"/>
    <w:rsid w:val="00700CAA"/>
    <w:rsid w:val="00703A15"/>
    <w:rsid w:val="00704907"/>
    <w:rsid w:val="00704BAD"/>
    <w:rsid w:val="00705A59"/>
    <w:rsid w:val="00705ADC"/>
    <w:rsid w:val="00706250"/>
    <w:rsid w:val="00707574"/>
    <w:rsid w:val="00711F5E"/>
    <w:rsid w:val="00712E36"/>
    <w:rsid w:val="007143D3"/>
    <w:rsid w:val="00714877"/>
    <w:rsid w:val="00717092"/>
    <w:rsid w:val="00717A6B"/>
    <w:rsid w:val="00720D9A"/>
    <w:rsid w:val="00723A8E"/>
    <w:rsid w:val="00723C04"/>
    <w:rsid w:val="00723E3B"/>
    <w:rsid w:val="00724B5A"/>
    <w:rsid w:val="00724BFB"/>
    <w:rsid w:val="00725BAD"/>
    <w:rsid w:val="00726633"/>
    <w:rsid w:val="0072795A"/>
    <w:rsid w:val="00727E90"/>
    <w:rsid w:val="00732421"/>
    <w:rsid w:val="00732BC6"/>
    <w:rsid w:val="0073375E"/>
    <w:rsid w:val="007358AB"/>
    <w:rsid w:val="00737EA5"/>
    <w:rsid w:val="0074087D"/>
    <w:rsid w:val="007415A7"/>
    <w:rsid w:val="00741A90"/>
    <w:rsid w:val="00742316"/>
    <w:rsid w:val="007432AF"/>
    <w:rsid w:val="00744837"/>
    <w:rsid w:val="00744B9B"/>
    <w:rsid w:val="0074556C"/>
    <w:rsid w:val="007475C2"/>
    <w:rsid w:val="00747A73"/>
    <w:rsid w:val="00747CBA"/>
    <w:rsid w:val="00750099"/>
    <w:rsid w:val="007511BE"/>
    <w:rsid w:val="007519BE"/>
    <w:rsid w:val="00752CA8"/>
    <w:rsid w:val="00753BC0"/>
    <w:rsid w:val="0075495F"/>
    <w:rsid w:val="00755D73"/>
    <w:rsid w:val="00756DD7"/>
    <w:rsid w:val="0075706B"/>
    <w:rsid w:val="007570FD"/>
    <w:rsid w:val="00757583"/>
    <w:rsid w:val="00760396"/>
    <w:rsid w:val="007611D4"/>
    <w:rsid w:val="007622EA"/>
    <w:rsid w:val="00762460"/>
    <w:rsid w:val="007639F9"/>
    <w:rsid w:val="007640A3"/>
    <w:rsid w:val="0076503F"/>
    <w:rsid w:val="00767A3D"/>
    <w:rsid w:val="00767E7A"/>
    <w:rsid w:val="007701D4"/>
    <w:rsid w:val="007704B1"/>
    <w:rsid w:val="00771112"/>
    <w:rsid w:val="00772C3E"/>
    <w:rsid w:val="00773AE9"/>
    <w:rsid w:val="0077416D"/>
    <w:rsid w:val="00775F68"/>
    <w:rsid w:val="00776364"/>
    <w:rsid w:val="00780539"/>
    <w:rsid w:val="007809B4"/>
    <w:rsid w:val="00780F00"/>
    <w:rsid w:val="007815EF"/>
    <w:rsid w:val="00781B0A"/>
    <w:rsid w:val="00782933"/>
    <w:rsid w:val="00783179"/>
    <w:rsid w:val="00783CAC"/>
    <w:rsid w:val="00784A08"/>
    <w:rsid w:val="00784FAD"/>
    <w:rsid w:val="0078517C"/>
    <w:rsid w:val="007852BA"/>
    <w:rsid w:val="00785D3E"/>
    <w:rsid w:val="00787135"/>
    <w:rsid w:val="007905C3"/>
    <w:rsid w:val="0079127F"/>
    <w:rsid w:val="007929EA"/>
    <w:rsid w:val="00793A57"/>
    <w:rsid w:val="00795091"/>
    <w:rsid w:val="00795244"/>
    <w:rsid w:val="0079738B"/>
    <w:rsid w:val="007975EB"/>
    <w:rsid w:val="0079789E"/>
    <w:rsid w:val="00797FB5"/>
    <w:rsid w:val="007A0CA2"/>
    <w:rsid w:val="007A215C"/>
    <w:rsid w:val="007A2597"/>
    <w:rsid w:val="007A2A6B"/>
    <w:rsid w:val="007A3B59"/>
    <w:rsid w:val="007A3D1C"/>
    <w:rsid w:val="007A3F98"/>
    <w:rsid w:val="007A4E97"/>
    <w:rsid w:val="007A611D"/>
    <w:rsid w:val="007A6D09"/>
    <w:rsid w:val="007B03E6"/>
    <w:rsid w:val="007B1F25"/>
    <w:rsid w:val="007B25D8"/>
    <w:rsid w:val="007B2E8E"/>
    <w:rsid w:val="007B4135"/>
    <w:rsid w:val="007B43E3"/>
    <w:rsid w:val="007B472D"/>
    <w:rsid w:val="007B5B5B"/>
    <w:rsid w:val="007B5ECF"/>
    <w:rsid w:val="007B6716"/>
    <w:rsid w:val="007B7848"/>
    <w:rsid w:val="007B78E3"/>
    <w:rsid w:val="007C0CE2"/>
    <w:rsid w:val="007C0F34"/>
    <w:rsid w:val="007C19F6"/>
    <w:rsid w:val="007C3E2D"/>
    <w:rsid w:val="007C492C"/>
    <w:rsid w:val="007C4CBE"/>
    <w:rsid w:val="007C5630"/>
    <w:rsid w:val="007C6A2E"/>
    <w:rsid w:val="007C79E7"/>
    <w:rsid w:val="007D0AF8"/>
    <w:rsid w:val="007D3790"/>
    <w:rsid w:val="007D5B24"/>
    <w:rsid w:val="007D60EF"/>
    <w:rsid w:val="007D7D29"/>
    <w:rsid w:val="007E1FC8"/>
    <w:rsid w:val="007E2B3D"/>
    <w:rsid w:val="007E7191"/>
    <w:rsid w:val="007E7810"/>
    <w:rsid w:val="007E7F8D"/>
    <w:rsid w:val="007F1201"/>
    <w:rsid w:val="007F1576"/>
    <w:rsid w:val="007F25D1"/>
    <w:rsid w:val="007F321A"/>
    <w:rsid w:val="007F3AAB"/>
    <w:rsid w:val="007F4FB0"/>
    <w:rsid w:val="007F5ACB"/>
    <w:rsid w:val="007F6EA3"/>
    <w:rsid w:val="00802BA9"/>
    <w:rsid w:val="0080329C"/>
    <w:rsid w:val="00803C26"/>
    <w:rsid w:val="00804F3A"/>
    <w:rsid w:val="00805D13"/>
    <w:rsid w:val="008069C0"/>
    <w:rsid w:val="008071C2"/>
    <w:rsid w:val="008077C4"/>
    <w:rsid w:val="00812344"/>
    <w:rsid w:val="008136CB"/>
    <w:rsid w:val="00815172"/>
    <w:rsid w:val="00815ED5"/>
    <w:rsid w:val="008174BF"/>
    <w:rsid w:val="008202E2"/>
    <w:rsid w:val="00821E5E"/>
    <w:rsid w:val="00821F5C"/>
    <w:rsid w:val="0082208D"/>
    <w:rsid w:val="008221F9"/>
    <w:rsid w:val="0082472C"/>
    <w:rsid w:val="00825997"/>
    <w:rsid w:val="00827587"/>
    <w:rsid w:val="008275AA"/>
    <w:rsid w:val="008278EF"/>
    <w:rsid w:val="00827DE3"/>
    <w:rsid w:val="008308C9"/>
    <w:rsid w:val="008316EA"/>
    <w:rsid w:val="00835492"/>
    <w:rsid w:val="00835635"/>
    <w:rsid w:val="00836285"/>
    <w:rsid w:val="008375D6"/>
    <w:rsid w:val="00840B7B"/>
    <w:rsid w:val="00842CFC"/>
    <w:rsid w:val="00844665"/>
    <w:rsid w:val="008448FB"/>
    <w:rsid w:val="008452C0"/>
    <w:rsid w:val="00845EB8"/>
    <w:rsid w:val="008465AF"/>
    <w:rsid w:val="00847FFC"/>
    <w:rsid w:val="00850CF8"/>
    <w:rsid w:val="008512AB"/>
    <w:rsid w:val="00851505"/>
    <w:rsid w:val="00851AC9"/>
    <w:rsid w:val="00852AE8"/>
    <w:rsid w:val="00853154"/>
    <w:rsid w:val="0085412D"/>
    <w:rsid w:val="00854876"/>
    <w:rsid w:val="00855320"/>
    <w:rsid w:val="00855982"/>
    <w:rsid w:val="00855AD0"/>
    <w:rsid w:val="00855ECD"/>
    <w:rsid w:val="00856CDE"/>
    <w:rsid w:val="00856CE6"/>
    <w:rsid w:val="0085754B"/>
    <w:rsid w:val="00860134"/>
    <w:rsid w:val="00860907"/>
    <w:rsid w:val="00863909"/>
    <w:rsid w:val="00863BB0"/>
    <w:rsid w:val="00864999"/>
    <w:rsid w:val="0086612B"/>
    <w:rsid w:val="0086650B"/>
    <w:rsid w:val="00867CC1"/>
    <w:rsid w:val="008707ED"/>
    <w:rsid w:val="00871689"/>
    <w:rsid w:val="00872149"/>
    <w:rsid w:val="0087543E"/>
    <w:rsid w:val="00875A67"/>
    <w:rsid w:val="00877438"/>
    <w:rsid w:val="008779A4"/>
    <w:rsid w:val="00880084"/>
    <w:rsid w:val="00880142"/>
    <w:rsid w:val="00880F49"/>
    <w:rsid w:val="008830C6"/>
    <w:rsid w:val="0088489C"/>
    <w:rsid w:val="008856F0"/>
    <w:rsid w:val="00885F82"/>
    <w:rsid w:val="00886B3E"/>
    <w:rsid w:val="008902A7"/>
    <w:rsid w:val="0089088D"/>
    <w:rsid w:val="00890AB3"/>
    <w:rsid w:val="00891537"/>
    <w:rsid w:val="008915AD"/>
    <w:rsid w:val="008919F5"/>
    <w:rsid w:val="0089259C"/>
    <w:rsid w:val="00892C77"/>
    <w:rsid w:val="00892FCA"/>
    <w:rsid w:val="008932E0"/>
    <w:rsid w:val="00893696"/>
    <w:rsid w:val="008A0383"/>
    <w:rsid w:val="008A0568"/>
    <w:rsid w:val="008A1ED0"/>
    <w:rsid w:val="008A2B23"/>
    <w:rsid w:val="008A2C22"/>
    <w:rsid w:val="008A3217"/>
    <w:rsid w:val="008A3693"/>
    <w:rsid w:val="008A39C2"/>
    <w:rsid w:val="008A4610"/>
    <w:rsid w:val="008A783C"/>
    <w:rsid w:val="008B06B2"/>
    <w:rsid w:val="008B0DC6"/>
    <w:rsid w:val="008B122E"/>
    <w:rsid w:val="008B2169"/>
    <w:rsid w:val="008B3FF9"/>
    <w:rsid w:val="008B6F11"/>
    <w:rsid w:val="008B720F"/>
    <w:rsid w:val="008B75CE"/>
    <w:rsid w:val="008B7A74"/>
    <w:rsid w:val="008B7AD2"/>
    <w:rsid w:val="008C0F89"/>
    <w:rsid w:val="008C7B87"/>
    <w:rsid w:val="008C7DDE"/>
    <w:rsid w:val="008D1055"/>
    <w:rsid w:val="008D1B1F"/>
    <w:rsid w:val="008D1E07"/>
    <w:rsid w:val="008D1F20"/>
    <w:rsid w:val="008D211D"/>
    <w:rsid w:val="008D3CFA"/>
    <w:rsid w:val="008D3E98"/>
    <w:rsid w:val="008D58FB"/>
    <w:rsid w:val="008D76A5"/>
    <w:rsid w:val="008D7B10"/>
    <w:rsid w:val="008E2CE4"/>
    <w:rsid w:val="008E2CE9"/>
    <w:rsid w:val="008E3991"/>
    <w:rsid w:val="008E4E97"/>
    <w:rsid w:val="008F0475"/>
    <w:rsid w:val="008F2DA2"/>
    <w:rsid w:val="008F6859"/>
    <w:rsid w:val="009003EB"/>
    <w:rsid w:val="009005AC"/>
    <w:rsid w:val="00902C2E"/>
    <w:rsid w:val="009035F8"/>
    <w:rsid w:val="009036DA"/>
    <w:rsid w:val="00904C17"/>
    <w:rsid w:val="0090526B"/>
    <w:rsid w:val="00906361"/>
    <w:rsid w:val="0090637B"/>
    <w:rsid w:val="009065DF"/>
    <w:rsid w:val="009071A1"/>
    <w:rsid w:val="00910CDA"/>
    <w:rsid w:val="00911ACC"/>
    <w:rsid w:val="00914542"/>
    <w:rsid w:val="00914D2A"/>
    <w:rsid w:val="009157AA"/>
    <w:rsid w:val="00915E1D"/>
    <w:rsid w:val="009171C8"/>
    <w:rsid w:val="00917C5F"/>
    <w:rsid w:val="00921425"/>
    <w:rsid w:val="00921F6B"/>
    <w:rsid w:val="009224B9"/>
    <w:rsid w:val="009240C6"/>
    <w:rsid w:val="00924899"/>
    <w:rsid w:val="009265E0"/>
    <w:rsid w:val="009279C4"/>
    <w:rsid w:val="009319C1"/>
    <w:rsid w:val="00933063"/>
    <w:rsid w:val="00933FF6"/>
    <w:rsid w:val="00934447"/>
    <w:rsid w:val="00940345"/>
    <w:rsid w:val="00941F18"/>
    <w:rsid w:val="0094487D"/>
    <w:rsid w:val="00944A2E"/>
    <w:rsid w:val="00944B64"/>
    <w:rsid w:val="009458DC"/>
    <w:rsid w:val="009464A2"/>
    <w:rsid w:val="00946C27"/>
    <w:rsid w:val="00946EED"/>
    <w:rsid w:val="009505DB"/>
    <w:rsid w:val="009512D6"/>
    <w:rsid w:val="009520EF"/>
    <w:rsid w:val="00953FC0"/>
    <w:rsid w:val="00956982"/>
    <w:rsid w:val="009577E2"/>
    <w:rsid w:val="009579F5"/>
    <w:rsid w:val="00961BE7"/>
    <w:rsid w:val="00963878"/>
    <w:rsid w:val="009651EE"/>
    <w:rsid w:val="0096621D"/>
    <w:rsid w:val="00966798"/>
    <w:rsid w:val="00966DA8"/>
    <w:rsid w:val="00967CB8"/>
    <w:rsid w:val="00971015"/>
    <w:rsid w:val="009717AD"/>
    <w:rsid w:val="00973E16"/>
    <w:rsid w:val="0097452E"/>
    <w:rsid w:val="00974FE3"/>
    <w:rsid w:val="009768D1"/>
    <w:rsid w:val="00976CFD"/>
    <w:rsid w:val="00976F1A"/>
    <w:rsid w:val="009819CA"/>
    <w:rsid w:val="00981ADF"/>
    <w:rsid w:val="0098393E"/>
    <w:rsid w:val="00983CBB"/>
    <w:rsid w:val="009845DC"/>
    <w:rsid w:val="00990367"/>
    <w:rsid w:val="009916B5"/>
    <w:rsid w:val="00991808"/>
    <w:rsid w:val="0099375E"/>
    <w:rsid w:val="00993A31"/>
    <w:rsid w:val="00994B5D"/>
    <w:rsid w:val="009960F1"/>
    <w:rsid w:val="009A02F1"/>
    <w:rsid w:val="009A0C26"/>
    <w:rsid w:val="009A3323"/>
    <w:rsid w:val="009A3D78"/>
    <w:rsid w:val="009A6693"/>
    <w:rsid w:val="009A6C85"/>
    <w:rsid w:val="009A7A2F"/>
    <w:rsid w:val="009B0F9D"/>
    <w:rsid w:val="009B2526"/>
    <w:rsid w:val="009B290E"/>
    <w:rsid w:val="009B2A79"/>
    <w:rsid w:val="009B2D7B"/>
    <w:rsid w:val="009B38EF"/>
    <w:rsid w:val="009B47F4"/>
    <w:rsid w:val="009B5DC7"/>
    <w:rsid w:val="009B6540"/>
    <w:rsid w:val="009B775C"/>
    <w:rsid w:val="009B7850"/>
    <w:rsid w:val="009C0310"/>
    <w:rsid w:val="009C0633"/>
    <w:rsid w:val="009C0799"/>
    <w:rsid w:val="009C134D"/>
    <w:rsid w:val="009C2C47"/>
    <w:rsid w:val="009C5508"/>
    <w:rsid w:val="009C6B40"/>
    <w:rsid w:val="009D03E4"/>
    <w:rsid w:val="009D06A4"/>
    <w:rsid w:val="009D1375"/>
    <w:rsid w:val="009D202A"/>
    <w:rsid w:val="009D5D99"/>
    <w:rsid w:val="009D736A"/>
    <w:rsid w:val="009D7F7B"/>
    <w:rsid w:val="009E13DA"/>
    <w:rsid w:val="009E1E5D"/>
    <w:rsid w:val="009E570B"/>
    <w:rsid w:val="009E6507"/>
    <w:rsid w:val="009E6F8D"/>
    <w:rsid w:val="009E7369"/>
    <w:rsid w:val="009F43F5"/>
    <w:rsid w:val="009F6211"/>
    <w:rsid w:val="009F6995"/>
    <w:rsid w:val="009F6A8F"/>
    <w:rsid w:val="009F6BEE"/>
    <w:rsid w:val="00A01324"/>
    <w:rsid w:val="00A01DFE"/>
    <w:rsid w:val="00A023FF"/>
    <w:rsid w:val="00A05FF9"/>
    <w:rsid w:val="00A063FA"/>
    <w:rsid w:val="00A0666D"/>
    <w:rsid w:val="00A07006"/>
    <w:rsid w:val="00A07A1F"/>
    <w:rsid w:val="00A10661"/>
    <w:rsid w:val="00A12046"/>
    <w:rsid w:val="00A1623A"/>
    <w:rsid w:val="00A21498"/>
    <w:rsid w:val="00A21BD8"/>
    <w:rsid w:val="00A24B64"/>
    <w:rsid w:val="00A24E24"/>
    <w:rsid w:val="00A25CFD"/>
    <w:rsid w:val="00A2607B"/>
    <w:rsid w:val="00A266CC"/>
    <w:rsid w:val="00A311DB"/>
    <w:rsid w:val="00A31AFE"/>
    <w:rsid w:val="00A32196"/>
    <w:rsid w:val="00A32F19"/>
    <w:rsid w:val="00A34E6D"/>
    <w:rsid w:val="00A408DF"/>
    <w:rsid w:val="00A41B70"/>
    <w:rsid w:val="00A423C3"/>
    <w:rsid w:val="00A44306"/>
    <w:rsid w:val="00A444FF"/>
    <w:rsid w:val="00A44A5E"/>
    <w:rsid w:val="00A45D40"/>
    <w:rsid w:val="00A47147"/>
    <w:rsid w:val="00A504EA"/>
    <w:rsid w:val="00A53764"/>
    <w:rsid w:val="00A54CD9"/>
    <w:rsid w:val="00A55DD6"/>
    <w:rsid w:val="00A62641"/>
    <w:rsid w:val="00A648C0"/>
    <w:rsid w:val="00A66526"/>
    <w:rsid w:val="00A66757"/>
    <w:rsid w:val="00A67211"/>
    <w:rsid w:val="00A679E5"/>
    <w:rsid w:val="00A67A86"/>
    <w:rsid w:val="00A67B55"/>
    <w:rsid w:val="00A7051C"/>
    <w:rsid w:val="00A72ADB"/>
    <w:rsid w:val="00A7595C"/>
    <w:rsid w:val="00A759F0"/>
    <w:rsid w:val="00A76072"/>
    <w:rsid w:val="00A76E35"/>
    <w:rsid w:val="00A76E60"/>
    <w:rsid w:val="00A7741F"/>
    <w:rsid w:val="00A7779A"/>
    <w:rsid w:val="00A8077E"/>
    <w:rsid w:val="00A811C4"/>
    <w:rsid w:val="00A8132B"/>
    <w:rsid w:val="00A81B79"/>
    <w:rsid w:val="00A823FE"/>
    <w:rsid w:val="00A82B80"/>
    <w:rsid w:val="00A82EA2"/>
    <w:rsid w:val="00A83110"/>
    <w:rsid w:val="00A85CBE"/>
    <w:rsid w:val="00A86EC8"/>
    <w:rsid w:val="00A87AF0"/>
    <w:rsid w:val="00A90B79"/>
    <w:rsid w:val="00A91DFF"/>
    <w:rsid w:val="00A92273"/>
    <w:rsid w:val="00A92A78"/>
    <w:rsid w:val="00A92E27"/>
    <w:rsid w:val="00A93641"/>
    <w:rsid w:val="00A955BF"/>
    <w:rsid w:val="00A95852"/>
    <w:rsid w:val="00A95970"/>
    <w:rsid w:val="00A962EB"/>
    <w:rsid w:val="00A96E95"/>
    <w:rsid w:val="00AA0630"/>
    <w:rsid w:val="00AA06E1"/>
    <w:rsid w:val="00AA0C25"/>
    <w:rsid w:val="00AA0EDC"/>
    <w:rsid w:val="00AA22FF"/>
    <w:rsid w:val="00AA2539"/>
    <w:rsid w:val="00AA27C5"/>
    <w:rsid w:val="00AA34D4"/>
    <w:rsid w:val="00AA5244"/>
    <w:rsid w:val="00AA533F"/>
    <w:rsid w:val="00AA6727"/>
    <w:rsid w:val="00AA6DE5"/>
    <w:rsid w:val="00AA72BE"/>
    <w:rsid w:val="00AB2A77"/>
    <w:rsid w:val="00AB435B"/>
    <w:rsid w:val="00AB5850"/>
    <w:rsid w:val="00AB7296"/>
    <w:rsid w:val="00AB733D"/>
    <w:rsid w:val="00AC16C1"/>
    <w:rsid w:val="00AC1D34"/>
    <w:rsid w:val="00AC1FD2"/>
    <w:rsid w:val="00AC25BB"/>
    <w:rsid w:val="00AC4DA2"/>
    <w:rsid w:val="00AC599C"/>
    <w:rsid w:val="00AC6208"/>
    <w:rsid w:val="00AC6236"/>
    <w:rsid w:val="00AD0B01"/>
    <w:rsid w:val="00AD21B9"/>
    <w:rsid w:val="00AD44B8"/>
    <w:rsid w:val="00AD675E"/>
    <w:rsid w:val="00AE07C8"/>
    <w:rsid w:val="00AE1AE0"/>
    <w:rsid w:val="00AE250D"/>
    <w:rsid w:val="00AE257E"/>
    <w:rsid w:val="00AE27BA"/>
    <w:rsid w:val="00AE341E"/>
    <w:rsid w:val="00AE3662"/>
    <w:rsid w:val="00AE5476"/>
    <w:rsid w:val="00AE59C2"/>
    <w:rsid w:val="00AE5D73"/>
    <w:rsid w:val="00AE6228"/>
    <w:rsid w:val="00AE6554"/>
    <w:rsid w:val="00AE7080"/>
    <w:rsid w:val="00AF0FF6"/>
    <w:rsid w:val="00AF190F"/>
    <w:rsid w:val="00AF2005"/>
    <w:rsid w:val="00AF3CE8"/>
    <w:rsid w:val="00AF4E93"/>
    <w:rsid w:val="00AF588C"/>
    <w:rsid w:val="00AF62AB"/>
    <w:rsid w:val="00AF6685"/>
    <w:rsid w:val="00AF6C6F"/>
    <w:rsid w:val="00AF781E"/>
    <w:rsid w:val="00AF79B3"/>
    <w:rsid w:val="00B00888"/>
    <w:rsid w:val="00B00D48"/>
    <w:rsid w:val="00B0212E"/>
    <w:rsid w:val="00B02B51"/>
    <w:rsid w:val="00B031E3"/>
    <w:rsid w:val="00B037AF"/>
    <w:rsid w:val="00B0478A"/>
    <w:rsid w:val="00B069C0"/>
    <w:rsid w:val="00B14EE4"/>
    <w:rsid w:val="00B16FAA"/>
    <w:rsid w:val="00B1727E"/>
    <w:rsid w:val="00B20BA4"/>
    <w:rsid w:val="00B21812"/>
    <w:rsid w:val="00B2234C"/>
    <w:rsid w:val="00B24D40"/>
    <w:rsid w:val="00B26F3F"/>
    <w:rsid w:val="00B27364"/>
    <w:rsid w:val="00B27D2B"/>
    <w:rsid w:val="00B30839"/>
    <w:rsid w:val="00B30E1D"/>
    <w:rsid w:val="00B3296E"/>
    <w:rsid w:val="00B33375"/>
    <w:rsid w:val="00B33E4D"/>
    <w:rsid w:val="00B3596D"/>
    <w:rsid w:val="00B40223"/>
    <w:rsid w:val="00B40447"/>
    <w:rsid w:val="00B41CCF"/>
    <w:rsid w:val="00B41FB4"/>
    <w:rsid w:val="00B42F7F"/>
    <w:rsid w:val="00B45380"/>
    <w:rsid w:val="00B47393"/>
    <w:rsid w:val="00B47E48"/>
    <w:rsid w:val="00B5028B"/>
    <w:rsid w:val="00B50C06"/>
    <w:rsid w:val="00B511D3"/>
    <w:rsid w:val="00B531DA"/>
    <w:rsid w:val="00B539D3"/>
    <w:rsid w:val="00B56EDD"/>
    <w:rsid w:val="00B56FC2"/>
    <w:rsid w:val="00B629BA"/>
    <w:rsid w:val="00B629D2"/>
    <w:rsid w:val="00B634B1"/>
    <w:rsid w:val="00B64C12"/>
    <w:rsid w:val="00B67B6E"/>
    <w:rsid w:val="00B67BF9"/>
    <w:rsid w:val="00B67D44"/>
    <w:rsid w:val="00B67EC3"/>
    <w:rsid w:val="00B70182"/>
    <w:rsid w:val="00B701A4"/>
    <w:rsid w:val="00B7141E"/>
    <w:rsid w:val="00B716E5"/>
    <w:rsid w:val="00B71A50"/>
    <w:rsid w:val="00B71EB7"/>
    <w:rsid w:val="00B72554"/>
    <w:rsid w:val="00B7259F"/>
    <w:rsid w:val="00B73B76"/>
    <w:rsid w:val="00B742C3"/>
    <w:rsid w:val="00B7638C"/>
    <w:rsid w:val="00B80AA3"/>
    <w:rsid w:val="00B83335"/>
    <w:rsid w:val="00B83365"/>
    <w:rsid w:val="00B862EA"/>
    <w:rsid w:val="00B8798E"/>
    <w:rsid w:val="00B879B8"/>
    <w:rsid w:val="00B87A63"/>
    <w:rsid w:val="00B91420"/>
    <w:rsid w:val="00B91AB0"/>
    <w:rsid w:val="00B92146"/>
    <w:rsid w:val="00B9215E"/>
    <w:rsid w:val="00B92177"/>
    <w:rsid w:val="00B92589"/>
    <w:rsid w:val="00B92F98"/>
    <w:rsid w:val="00B93251"/>
    <w:rsid w:val="00B93373"/>
    <w:rsid w:val="00B94930"/>
    <w:rsid w:val="00B95805"/>
    <w:rsid w:val="00B978FD"/>
    <w:rsid w:val="00BA08CA"/>
    <w:rsid w:val="00BA11EE"/>
    <w:rsid w:val="00BA171D"/>
    <w:rsid w:val="00BA17BA"/>
    <w:rsid w:val="00BA22BA"/>
    <w:rsid w:val="00BA22F0"/>
    <w:rsid w:val="00BA3419"/>
    <w:rsid w:val="00BA3A1D"/>
    <w:rsid w:val="00BA4219"/>
    <w:rsid w:val="00BA68A5"/>
    <w:rsid w:val="00BA727A"/>
    <w:rsid w:val="00BB164D"/>
    <w:rsid w:val="00BB33A5"/>
    <w:rsid w:val="00BB3DBC"/>
    <w:rsid w:val="00BB5F98"/>
    <w:rsid w:val="00BB6605"/>
    <w:rsid w:val="00BB79FA"/>
    <w:rsid w:val="00BC4625"/>
    <w:rsid w:val="00BC4810"/>
    <w:rsid w:val="00BC5210"/>
    <w:rsid w:val="00BC57AE"/>
    <w:rsid w:val="00BC6365"/>
    <w:rsid w:val="00BC65AC"/>
    <w:rsid w:val="00BC66C9"/>
    <w:rsid w:val="00BC7E05"/>
    <w:rsid w:val="00BC7E8A"/>
    <w:rsid w:val="00BD0681"/>
    <w:rsid w:val="00BD23E9"/>
    <w:rsid w:val="00BD4EF2"/>
    <w:rsid w:val="00BD5747"/>
    <w:rsid w:val="00BD5DF7"/>
    <w:rsid w:val="00BD5EA2"/>
    <w:rsid w:val="00BD5F5B"/>
    <w:rsid w:val="00BD771B"/>
    <w:rsid w:val="00BE0A0A"/>
    <w:rsid w:val="00BE2D72"/>
    <w:rsid w:val="00BE393F"/>
    <w:rsid w:val="00BE40A7"/>
    <w:rsid w:val="00BE42B1"/>
    <w:rsid w:val="00BE4605"/>
    <w:rsid w:val="00BE73A4"/>
    <w:rsid w:val="00BF0BFF"/>
    <w:rsid w:val="00BF0E8E"/>
    <w:rsid w:val="00BF1F0C"/>
    <w:rsid w:val="00BF2C58"/>
    <w:rsid w:val="00BF2D7E"/>
    <w:rsid w:val="00BF2D94"/>
    <w:rsid w:val="00BF3657"/>
    <w:rsid w:val="00BF5BEC"/>
    <w:rsid w:val="00BF7D8B"/>
    <w:rsid w:val="00C01E54"/>
    <w:rsid w:val="00C02675"/>
    <w:rsid w:val="00C042ED"/>
    <w:rsid w:val="00C0655F"/>
    <w:rsid w:val="00C07A7F"/>
    <w:rsid w:val="00C07C42"/>
    <w:rsid w:val="00C10FB2"/>
    <w:rsid w:val="00C11B09"/>
    <w:rsid w:val="00C14BE4"/>
    <w:rsid w:val="00C14C47"/>
    <w:rsid w:val="00C15098"/>
    <w:rsid w:val="00C156E3"/>
    <w:rsid w:val="00C16A71"/>
    <w:rsid w:val="00C17404"/>
    <w:rsid w:val="00C20CB6"/>
    <w:rsid w:val="00C20EB4"/>
    <w:rsid w:val="00C23029"/>
    <w:rsid w:val="00C23136"/>
    <w:rsid w:val="00C23825"/>
    <w:rsid w:val="00C24163"/>
    <w:rsid w:val="00C24279"/>
    <w:rsid w:val="00C24E0A"/>
    <w:rsid w:val="00C2529D"/>
    <w:rsid w:val="00C25BE9"/>
    <w:rsid w:val="00C268A1"/>
    <w:rsid w:val="00C2752C"/>
    <w:rsid w:val="00C30638"/>
    <w:rsid w:val="00C306F6"/>
    <w:rsid w:val="00C30FB8"/>
    <w:rsid w:val="00C3156D"/>
    <w:rsid w:val="00C3274F"/>
    <w:rsid w:val="00C365D4"/>
    <w:rsid w:val="00C36D52"/>
    <w:rsid w:val="00C36F66"/>
    <w:rsid w:val="00C416D9"/>
    <w:rsid w:val="00C41C66"/>
    <w:rsid w:val="00C41CC8"/>
    <w:rsid w:val="00C42EDD"/>
    <w:rsid w:val="00C43395"/>
    <w:rsid w:val="00C52581"/>
    <w:rsid w:val="00C53354"/>
    <w:rsid w:val="00C54288"/>
    <w:rsid w:val="00C56E5F"/>
    <w:rsid w:val="00C57522"/>
    <w:rsid w:val="00C6038C"/>
    <w:rsid w:val="00C6291E"/>
    <w:rsid w:val="00C63199"/>
    <w:rsid w:val="00C665C3"/>
    <w:rsid w:val="00C66D20"/>
    <w:rsid w:val="00C70B84"/>
    <w:rsid w:val="00C73ED2"/>
    <w:rsid w:val="00C7494D"/>
    <w:rsid w:val="00C74BC0"/>
    <w:rsid w:val="00C75385"/>
    <w:rsid w:val="00C7650D"/>
    <w:rsid w:val="00C76D0D"/>
    <w:rsid w:val="00C76D9A"/>
    <w:rsid w:val="00C81836"/>
    <w:rsid w:val="00C81DE0"/>
    <w:rsid w:val="00C8355D"/>
    <w:rsid w:val="00C856C0"/>
    <w:rsid w:val="00C9070D"/>
    <w:rsid w:val="00C91B05"/>
    <w:rsid w:val="00C945DE"/>
    <w:rsid w:val="00C94C2B"/>
    <w:rsid w:val="00C94E11"/>
    <w:rsid w:val="00C95472"/>
    <w:rsid w:val="00C95C53"/>
    <w:rsid w:val="00C9655A"/>
    <w:rsid w:val="00CA0886"/>
    <w:rsid w:val="00CA132C"/>
    <w:rsid w:val="00CA158C"/>
    <w:rsid w:val="00CA382C"/>
    <w:rsid w:val="00CA4CF0"/>
    <w:rsid w:val="00CA5E4F"/>
    <w:rsid w:val="00CA5FB9"/>
    <w:rsid w:val="00CA68A9"/>
    <w:rsid w:val="00CA77B6"/>
    <w:rsid w:val="00CB1002"/>
    <w:rsid w:val="00CB1359"/>
    <w:rsid w:val="00CB190D"/>
    <w:rsid w:val="00CB1C66"/>
    <w:rsid w:val="00CB2BF8"/>
    <w:rsid w:val="00CB3007"/>
    <w:rsid w:val="00CB4115"/>
    <w:rsid w:val="00CB47DB"/>
    <w:rsid w:val="00CB4BF1"/>
    <w:rsid w:val="00CB4D02"/>
    <w:rsid w:val="00CB537A"/>
    <w:rsid w:val="00CC011C"/>
    <w:rsid w:val="00CC10EE"/>
    <w:rsid w:val="00CC3655"/>
    <w:rsid w:val="00CC3736"/>
    <w:rsid w:val="00CC44EB"/>
    <w:rsid w:val="00CC4D99"/>
    <w:rsid w:val="00CC50DF"/>
    <w:rsid w:val="00CC72E7"/>
    <w:rsid w:val="00CD03D3"/>
    <w:rsid w:val="00CD1CAD"/>
    <w:rsid w:val="00CD1E6E"/>
    <w:rsid w:val="00CD2114"/>
    <w:rsid w:val="00CD365D"/>
    <w:rsid w:val="00CD46B2"/>
    <w:rsid w:val="00CD50A9"/>
    <w:rsid w:val="00CD5E38"/>
    <w:rsid w:val="00CD6DBC"/>
    <w:rsid w:val="00CD6F1D"/>
    <w:rsid w:val="00CD76CE"/>
    <w:rsid w:val="00CD78AD"/>
    <w:rsid w:val="00CD7CAF"/>
    <w:rsid w:val="00CD7CFC"/>
    <w:rsid w:val="00CE14FC"/>
    <w:rsid w:val="00CE26D8"/>
    <w:rsid w:val="00CE279B"/>
    <w:rsid w:val="00CE3290"/>
    <w:rsid w:val="00CE57B3"/>
    <w:rsid w:val="00CE6B2B"/>
    <w:rsid w:val="00CF08F0"/>
    <w:rsid w:val="00CF1960"/>
    <w:rsid w:val="00CF2455"/>
    <w:rsid w:val="00CF24ED"/>
    <w:rsid w:val="00CF26FA"/>
    <w:rsid w:val="00CF5B0E"/>
    <w:rsid w:val="00CF7A74"/>
    <w:rsid w:val="00D00602"/>
    <w:rsid w:val="00D00C96"/>
    <w:rsid w:val="00D02671"/>
    <w:rsid w:val="00D0488C"/>
    <w:rsid w:val="00D06A31"/>
    <w:rsid w:val="00D06B4D"/>
    <w:rsid w:val="00D06C05"/>
    <w:rsid w:val="00D10631"/>
    <w:rsid w:val="00D10C76"/>
    <w:rsid w:val="00D11337"/>
    <w:rsid w:val="00D117CE"/>
    <w:rsid w:val="00D1468B"/>
    <w:rsid w:val="00D1608A"/>
    <w:rsid w:val="00D1698C"/>
    <w:rsid w:val="00D16EB9"/>
    <w:rsid w:val="00D17B30"/>
    <w:rsid w:val="00D17C6B"/>
    <w:rsid w:val="00D2190F"/>
    <w:rsid w:val="00D223B4"/>
    <w:rsid w:val="00D22D48"/>
    <w:rsid w:val="00D22DAD"/>
    <w:rsid w:val="00D23121"/>
    <w:rsid w:val="00D23DBD"/>
    <w:rsid w:val="00D240F2"/>
    <w:rsid w:val="00D2574C"/>
    <w:rsid w:val="00D25D95"/>
    <w:rsid w:val="00D26C55"/>
    <w:rsid w:val="00D30041"/>
    <w:rsid w:val="00D30AE9"/>
    <w:rsid w:val="00D30F55"/>
    <w:rsid w:val="00D31EA4"/>
    <w:rsid w:val="00D32CE0"/>
    <w:rsid w:val="00D33BE6"/>
    <w:rsid w:val="00D35380"/>
    <w:rsid w:val="00D357E4"/>
    <w:rsid w:val="00D35A46"/>
    <w:rsid w:val="00D35DC6"/>
    <w:rsid w:val="00D36A2B"/>
    <w:rsid w:val="00D374DE"/>
    <w:rsid w:val="00D411BF"/>
    <w:rsid w:val="00D42704"/>
    <w:rsid w:val="00D42ECE"/>
    <w:rsid w:val="00D4317C"/>
    <w:rsid w:val="00D43373"/>
    <w:rsid w:val="00D436ED"/>
    <w:rsid w:val="00D44B6E"/>
    <w:rsid w:val="00D45A14"/>
    <w:rsid w:val="00D47697"/>
    <w:rsid w:val="00D53FAF"/>
    <w:rsid w:val="00D55357"/>
    <w:rsid w:val="00D56749"/>
    <w:rsid w:val="00D567A3"/>
    <w:rsid w:val="00D57088"/>
    <w:rsid w:val="00D60ABB"/>
    <w:rsid w:val="00D610FA"/>
    <w:rsid w:val="00D632C3"/>
    <w:rsid w:val="00D636DB"/>
    <w:rsid w:val="00D6580B"/>
    <w:rsid w:val="00D66FF7"/>
    <w:rsid w:val="00D67305"/>
    <w:rsid w:val="00D70554"/>
    <w:rsid w:val="00D705C8"/>
    <w:rsid w:val="00D70941"/>
    <w:rsid w:val="00D7210D"/>
    <w:rsid w:val="00D72314"/>
    <w:rsid w:val="00D73CB2"/>
    <w:rsid w:val="00D758EC"/>
    <w:rsid w:val="00D76AE3"/>
    <w:rsid w:val="00D777B0"/>
    <w:rsid w:val="00D809ED"/>
    <w:rsid w:val="00D82F93"/>
    <w:rsid w:val="00D83B75"/>
    <w:rsid w:val="00D842B2"/>
    <w:rsid w:val="00D85A14"/>
    <w:rsid w:val="00D8757B"/>
    <w:rsid w:val="00D90994"/>
    <w:rsid w:val="00D93976"/>
    <w:rsid w:val="00D945B5"/>
    <w:rsid w:val="00D9525A"/>
    <w:rsid w:val="00D96424"/>
    <w:rsid w:val="00DA1D2B"/>
    <w:rsid w:val="00DA2E55"/>
    <w:rsid w:val="00DA3280"/>
    <w:rsid w:val="00DA332D"/>
    <w:rsid w:val="00DA3C88"/>
    <w:rsid w:val="00DA4AC7"/>
    <w:rsid w:val="00DA4D44"/>
    <w:rsid w:val="00DA67BE"/>
    <w:rsid w:val="00DA6C67"/>
    <w:rsid w:val="00DA79DF"/>
    <w:rsid w:val="00DB0319"/>
    <w:rsid w:val="00DB0E09"/>
    <w:rsid w:val="00DB2299"/>
    <w:rsid w:val="00DB2B8B"/>
    <w:rsid w:val="00DB3112"/>
    <w:rsid w:val="00DB32D2"/>
    <w:rsid w:val="00DB330B"/>
    <w:rsid w:val="00DB4B63"/>
    <w:rsid w:val="00DB4EB7"/>
    <w:rsid w:val="00DB62D2"/>
    <w:rsid w:val="00DB6481"/>
    <w:rsid w:val="00DB725D"/>
    <w:rsid w:val="00DB739C"/>
    <w:rsid w:val="00DB7AAB"/>
    <w:rsid w:val="00DB7E53"/>
    <w:rsid w:val="00DC008D"/>
    <w:rsid w:val="00DC032A"/>
    <w:rsid w:val="00DC0806"/>
    <w:rsid w:val="00DC1236"/>
    <w:rsid w:val="00DC1AEA"/>
    <w:rsid w:val="00DC2093"/>
    <w:rsid w:val="00DC3C73"/>
    <w:rsid w:val="00DC3FED"/>
    <w:rsid w:val="00DC4E29"/>
    <w:rsid w:val="00DC55AE"/>
    <w:rsid w:val="00DC64A7"/>
    <w:rsid w:val="00DC69C5"/>
    <w:rsid w:val="00DC7511"/>
    <w:rsid w:val="00DC777F"/>
    <w:rsid w:val="00DC7C0D"/>
    <w:rsid w:val="00DD04BF"/>
    <w:rsid w:val="00DD095E"/>
    <w:rsid w:val="00DD178D"/>
    <w:rsid w:val="00DD308C"/>
    <w:rsid w:val="00DD3A21"/>
    <w:rsid w:val="00DD4043"/>
    <w:rsid w:val="00DD44B3"/>
    <w:rsid w:val="00DD47F1"/>
    <w:rsid w:val="00DD5284"/>
    <w:rsid w:val="00DE0984"/>
    <w:rsid w:val="00DE0B2E"/>
    <w:rsid w:val="00DE1BFD"/>
    <w:rsid w:val="00DE4FFC"/>
    <w:rsid w:val="00DE5AB9"/>
    <w:rsid w:val="00DE7AA9"/>
    <w:rsid w:val="00DF2DB0"/>
    <w:rsid w:val="00DF4526"/>
    <w:rsid w:val="00DF4BBF"/>
    <w:rsid w:val="00DF6A7B"/>
    <w:rsid w:val="00E038E7"/>
    <w:rsid w:val="00E03D5A"/>
    <w:rsid w:val="00E05252"/>
    <w:rsid w:val="00E05272"/>
    <w:rsid w:val="00E05EC4"/>
    <w:rsid w:val="00E10B27"/>
    <w:rsid w:val="00E10E6A"/>
    <w:rsid w:val="00E118BE"/>
    <w:rsid w:val="00E128C2"/>
    <w:rsid w:val="00E12FEB"/>
    <w:rsid w:val="00E133E8"/>
    <w:rsid w:val="00E15D8F"/>
    <w:rsid w:val="00E20A78"/>
    <w:rsid w:val="00E20F15"/>
    <w:rsid w:val="00E2181A"/>
    <w:rsid w:val="00E21912"/>
    <w:rsid w:val="00E21A12"/>
    <w:rsid w:val="00E21F24"/>
    <w:rsid w:val="00E21FE5"/>
    <w:rsid w:val="00E247E1"/>
    <w:rsid w:val="00E24C54"/>
    <w:rsid w:val="00E25171"/>
    <w:rsid w:val="00E30527"/>
    <w:rsid w:val="00E30745"/>
    <w:rsid w:val="00E313B7"/>
    <w:rsid w:val="00E337A4"/>
    <w:rsid w:val="00E33F0C"/>
    <w:rsid w:val="00E34EA2"/>
    <w:rsid w:val="00E40FED"/>
    <w:rsid w:val="00E4154B"/>
    <w:rsid w:val="00E4163A"/>
    <w:rsid w:val="00E42ED0"/>
    <w:rsid w:val="00E45C6E"/>
    <w:rsid w:val="00E52C40"/>
    <w:rsid w:val="00E537CF"/>
    <w:rsid w:val="00E5536F"/>
    <w:rsid w:val="00E55DB0"/>
    <w:rsid w:val="00E5607E"/>
    <w:rsid w:val="00E561E5"/>
    <w:rsid w:val="00E565B3"/>
    <w:rsid w:val="00E6035D"/>
    <w:rsid w:val="00E604CC"/>
    <w:rsid w:val="00E60677"/>
    <w:rsid w:val="00E60698"/>
    <w:rsid w:val="00E61177"/>
    <w:rsid w:val="00E61846"/>
    <w:rsid w:val="00E6198B"/>
    <w:rsid w:val="00E63639"/>
    <w:rsid w:val="00E65D51"/>
    <w:rsid w:val="00E66A4E"/>
    <w:rsid w:val="00E67E13"/>
    <w:rsid w:val="00E7205C"/>
    <w:rsid w:val="00E721DB"/>
    <w:rsid w:val="00E72D45"/>
    <w:rsid w:val="00E740B1"/>
    <w:rsid w:val="00E748FD"/>
    <w:rsid w:val="00E75745"/>
    <w:rsid w:val="00E76D3B"/>
    <w:rsid w:val="00E77841"/>
    <w:rsid w:val="00E77D64"/>
    <w:rsid w:val="00E818DC"/>
    <w:rsid w:val="00E84B37"/>
    <w:rsid w:val="00E84E49"/>
    <w:rsid w:val="00E85D52"/>
    <w:rsid w:val="00E868F3"/>
    <w:rsid w:val="00E91200"/>
    <w:rsid w:val="00E920EE"/>
    <w:rsid w:val="00E9245A"/>
    <w:rsid w:val="00E97F20"/>
    <w:rsid w:val="00EA0376"/>
    <w:rsid w:val="00EA04A4"/>
    <w:rsid w:val="00EA04AA"/>
    <w:rsid w:val="00EA12A3"/>
    <w:rsid w:val="00EA1301"/>
    <w:rsid w:val="00EA3692"/>
    <w:rsid w:val="00EA6C20"/>
    <w:rsid w:val="00EA6E3E"/>
    <w:rsid w:val="00EA70C7"/>
    <w:rsid w:val="00EA7709"/>
    <w:rsid w:val="00EB0328"/>
    <w:rsid w:val="00EB032A"/>
    <w:rsid w:val="00EB043C"/>
    <w:rsid w:val="00EB2666"/>
    <w:rsid w:val="00EB3787"/>
    <w:rsid w:val="00EB3A97"/>
    <w:rsid w:val="00EB4941"/>
    <w:rsid w:val="00EB6C9F"/>
    <w:rsid w:val="00EB7D41"/>
    <w:rsid w:val="00EC0B0E"/>
    <w:rsid w:val="00EC196A"/>
    <w:rsid w:val="00EC2459"/>
    <w:rsid w:val="00EC36EA"/>
    <w:rsid w:val="00EC585B"/>
    <w:rsid w:val="00EC5CD4"/>
    <w:rsid w:val="00EC6A22"/>
    <w:rsid w:val="00ED0B7F"/>
    <w:rsid w:val="00ED2308"/>
    <w:rsid w:val="00ED40C0"/>
    <w:rsid w:val="00ED5640"/>
    <w:rsid w:val="00ED684B"/>
    <w:rsid w:val="00EE04D8"/>
    <w:rsid w:val="00EE083D"/>
    <w:rsid w:val="00EE0C79"/>
    <w:rsid w:val="00EE0CC1"/>
    <w:rsid w:val="00EE14EC"/>
    <w:rsid w:val="00EE2D5D"/>
    <w:rsid w:val="00EE48D0"/>
    <w:rsid w:val="00EE4E22"/>
    <w:rsid w:val="00EE4F8B"/>
    <w:rsid w:val="00EE5CAC"/>
    <w:rsid w:val="00EE6046"/>
    <w:rsid w:val="00EE6202"/>
    <w:rsid w:val="00EE6861"/>
    <w:rsid w:val="00EE6B19"/>
    <w:rsid w:val="00EF0705"/>
    <w:rsid w:val="00EF0CF4"/>
    <w:rsid w:val="00EF1399"/>
    <w:rsid w:val="00EF4954"/>
    <w:rsid w:val="00EF4C2E"/>
    <w:rsid w:val="00EF4DD9"/>
    <w:rsid w:val="00EF6DC9"/>
    <w:rsid w:val="00EF781B"/>
    <w:rsid w:val="00F006A4"/>
    <w:rsid w:val="00F0262D"/>
    <w:rsid w:val="00F02AE0"/>
    <w:rsid w:val="00F03DC4"/>
    <w:rsid w:val="00F056DF"/>
    <w:rsid w:val="00F061DD"/>
    <w:rsid w:val="00F0656E"/>
    <w:rsid w:val="00F07001"/>
    <w:rsid w:val="00F07023"/>
    <w:rsid w:val="00F075FE"/>
    <w:rsid w:val="00F079DB"/>
    <w:rsid w:val="00F07FA0"/>
    <w:rsid w:val="00F10F3C"/>
    <w:rsid w:val="00F1190A"/>
    <w:rsid w:val="00F13027"/>
    <w:rsid w:val="00F133C6"/>
    <w:rsid w:val="00F166A6"/>
    <w:rsid w:val="00F2089D"/>
    <w:rsid w:val="00F20936"/>
    <w:rsid w:val="00F22953"/>
    <w:rsid w:val="00F238BA"/>
    <w:rsid w:val="00F253F7"/>
    <w:rsid w:val="00F25CAC"/>
    <w:rsid w:val="00F25FA1"/>
    <w:rsid w:val="00F25FDC"/>
    <w:rsid w:val="00F3076A"/>
    <w:rsid w:val="00F31D29"/>
    <w:rsid w:val="00F376BE"/>
    <w:rsid w:val="00F408D5"/>
    <w:rsid w:val="00F40B88"/>
    <w:rsid w:val="00F4136B"/>
    <w:rsid w:val="00F41566"/>
    <w:rsid w:val="00F41876"/>
    <w:rsid w:val="00F44488"/>
    <w:rsid w:val="00F44762"/>
    <w:rsid w:val="00F44780"/>
    <w:rsid w:val="00F45A7A"/>
    <w:rsid w:val="00F500BA"/>
    <w:rsid w:val="00F56063"/>
    <w:rsid w:val="00F56399"/>
    <w:rsid w:val="00F56AFC"/>
    <w:rsid w:val="00F60608"/>
    <w:rsid w:val="00F63267"/>
    <w:rsid w:val="00F63D96"/>
    <w:rsid w:val="00F64639"/>
    <w:rsid w:val="00F64897"/>
    <w:rsid w:val="00F65F32"/>
    <w:rsid w:val="00F717E8"/>
    <w:rsid w:val="00F72A0C"/>
    <w:rsid w:val="00F72F88"/>
    <w:rsid w:val="00F73DAC"/>
    <w:rsid w:val="00F75522"/>
    <w:rsid w:val="00F76138"/>
    <w:rsid w:val="00F76475"/>
    <w:rsid w:val="00F76EEE"/>
    <w:rsid w:val="00F7776D"/>
    <w:rsid w:val="00F801AC"/>
    <w:rsid w:val="00F80246"/>
    <w:rsid w:val="00F80B46"/>
    <w:rsid w:val="00F830D8"/>
    <w:rsid w:val="00F83160"/>
    <w:rsid w:val="00F831CE"/>
    <w:rsid w:val="00F834E7"/>
    <w:rsid w:val="00F83EDE"/>
    <w:rsid w:val="00F84A01"/>
    <w:rsid w:val="00F854E4"/>
    <w:rsid w:val="00F85760"/>
    <w:rsid w:val="00F8733E"/>
    <w:rsid w:val="00F87D74"/>
    <w:rsid w:val="00F91417"/>
    <w:rsid w:val="00F923DC"/>
    <w:rsid w:val="00F92868"/>
    <w:rsid w:val="00F93341"/>
    <w:rsid w:val="00F93580"/>
    <w:rsid w:val="00F94047"/>
    <w:rsid w:val="00F95672"/>
    <w:rsid w:val="00F957E7"/>
    <w:rsid w:val="00F97CEA"/>
    <w:rsid w:val="00F97E5E"/>
    <w:rsid w:val="00FA1B20"/>
    <w:rsid w:val="00FA3A6B"/>
    <w:rsid w:val="00FA6046"/>
    <w:rsid w:val="00FA6116"/>
    <w:rsid w:val="00FA70B6"/>
    <w:rsid w:val="00FA7CAF"/>
    <w:rsid w:val="00FB0AC5"/>
    <w:rsid w:val="00FB19A9"/>
    <w:rsid w:val="00FB1DCC"/>
    <w:rsid w:val="00FB2CAB"/>
    <w:rsid w:val="00FB3D77"/>
    <w:rsid w:val="00FB547A"/>
    <w:rsid w:val="00FB55B2"/>
    <w:rsid w:val="00FB7608"/>
    <w:rsid w:val="00FC0225"/>
    <w:rsid w:val="00FC134F"/>
    <w:rsid w:val="00FC1CA0"/>
    <w:rsid w:val="00FC36D7"/>
    <w:rsid w:val="00FC3DD3"/>
    <w:rsid w:val="00FC4461"/>
    <w:rsid w:val="00FC6ABF"/>
    <w:rsid w:val="00FC6CA6"/>
    <w:rsid w:val="00FC6F38"/>
    <w:rsid w:val="00FC754B"/>
    <w:rsid w:val="00FC78DC"/>
    <w:rsid w:val="00FC7E90"/>
    <w:rsid w:val="00FD1616"/>
    <w:rsid w:val="00FD163A"/>
    <w:rsid w:val="00FD2916"/>
    <w:rsid w:val="00FD3224"/>
    <w:rsid w:val="00FD43B3"/>
    <w:rsid w:val="00FD4450"/>
    <w:rsid w:val="00FD5F1E"/>
    <w:rsid w:val="00FD5FA9"/>
    <w:rsid w:val="00FD68D2"/>
    <w:rsid w:val="00FD73A8"/>
    <w:rsid w:val="00FD7AC4"/>
    <w:rsid w:val="00FD7D1B"/>
    <w:rsid w:val="00FE096E"/>
    <w:rsid w:val="00FE0E9F"/>
    <w:rsid w:val="00FE2CAA"/>
    <w:rsid w:val="00FE2D89"/>
    <w:rsid w:val="00FE2E8D"/>
    <w:rsid w:val="00FE2F07"/>
    <w:rsid w:val="00FE3DF3"/>
    <w:rsid w:val="00FE3FBD"/>
    <w:rsid w:val="00FE473D"/>
    <w:rsid w:val="00FE774B"/>
    <w:rsid w:val="00FF28F8"/>
    <w:rsid w:val="00FF2A5C"/>
    <w:rsid w:val="00FF41D4"/>
    <w:rsid w:val="00FF4E9D"/>
    <w:rsid w:val="00FF65A3"/>
    <w:rsid w:val="00FF722A"/>
    <w:rsid w:val="00FF77BD"/>
    <w:rsid w:val="00FF7B92"/>
    <w:rsid w:val="00FF7D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style="mso-width-relative:margin;mso-height-relative:margin" fill="f" fillcolor="white" stroke="f">
      <v:fill color="white" on="f"/>
      <v:stroke on="f"/>
      <v:textbox style="layout-flow:vertical;mso-layout-flow-alt:bottom-to-top"/>
      <o:colormru v:ext="edit" colors="#daf2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99"/>
    <w:lsdException w:name="annotation text" w:semiHidden="1" w:uiPriority="99"/>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99"/>
    <w:lsdException w:name="List Number 3" w:uiPriority="99"/>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Grid" w:uiPriority="5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semiHidden/>
    <w:qFormat/>
    <w:rsid w:val="00DF6A7B"/>
    <w:pPr>
      <w:spacing w:before="60" w:after="120" w:line="280" w:lineRule="atLeast"/>
    </w:pPr>
    <w:rPr>
      <w:rFonts w:ascii="Franklin Gothic Book" w:hAnsi="Franklin Gothic Book"/>
    </w:rPr>
  </w:style>
  <w:style w:type="paragraph" w:styleId="Heading1">
    <w:name w:val="heading 1"/>
    <w:basedOn w:val="Normal"/>
    <w:next w:val="Normal"/>
    <w:semiHidden/>
    <w:qFormat/>
    <w:rsid w:val="00DF6A7B"/>
    <w:pPr>
      <w:keepNext/>
      <w:tabs>
        <w:tab w:val="left" w:pos="397"/>
      </w:tabs>
      <w:spacing w:before="240" w:after="240"/>
      <w:outlineLvl w:val="0"/>
    </w:pPr>
    <w:rPr>
      <w:rFonts w:ascii="Franklin Gothic Demi" w:hAnsi="Franklin Gothic Demi"/>
      <w:caps/>
      <w:sz w:val="30"/>
    </w:rPr>
  </w:style>
  <w:style w:type="paragraph" w:styleId="Heading2">
    <w:name w:val="heading 2"/>
    <w:basedOn w:val="Heading1"/>
    <w:next w:val="Normal"/>
    <w:semiHidden/>
    <w:qFormat/>
    <w:rsid w:val="00B24D40"/>
    <w:pPr>
      <w:numPr>
        <w:ilvl w:val="1"/>
      </w:numPr>
      <w:tabs>
        <w:tab w:val="clear" w:pos="397"/>
        <w:tab w:val="left" w:pos="567"/>
      </w:tabs>
      <w:outlineLvl w:val="1"/>
    </w:pPr>
    <w:rPr>
      <w:caps w:val="0"/>
      <w:smallCaps/>
      <w:sz w:val="28"/>
    </w:rPr>
  </w:style>
  <w:style w:type="paragraph" w:styleId="Heading3">
    <w:name w:val="heading 3"/>
    <w:basedOn w:val="Heading2"/>
    <w:next w:val="Normal"/>
    <w:semiHidden/>
    <w:qFormat/>
    <w:rsid w:val="00B24D40"/>
    <w:pPr>
      <w:numPr>
        <w:ilvl w:val="2"/>
      </w:numPr>
      <w:tabs>
        <w:tab w:val="clear" w:pos="567"/>
        <w:tab w:val="left" w:pos="794"/>
      </w:tabs>
      <w:outlineLvl w:val="2"/>
    </w:pPr>
  </w:style>
  <w:style w:type="paragraph" w:styleId="Heading4">
    <w:name w:val="heading 4"/>
    <w:basedOn w:val="Heading1"/>
    <w:next w:val="Normal"/>
    <w:semiHidden/>
    <w:qFormat/>
    <w:rsid w:val="00B24D40"/>
    <w:pPr>
      <w:numPr>
        <w:ilvl w:val="3"/>
      </w:numPr>
      <w:tabs>
        <w:tab w:val="clear" w:pos="397"/>
        <w:tab w:val="left" w:pos="964"/>
      </w:tabs>
      <w:outlineLvl w:val="3"/>
    </w:pPr>
    <w:rPr>
      <w:caps w:val="0"/>
      <w:smallCaps/>
      <w:sz w:val="24"/>
    </w:rPr>
  </w:style>
  <w:style w:type="paragraph" w:styleId="Heading5">
    <w:name w:val="heading 5"/>
    <w:basedOn w:val="Heading1"/>
    <w:next w:val="Normal"/>
    <w:semiHidden/>
    <w:qFormat/>
    <w:rsid w:val="00B24D40"/>
    <w:pPr>
      <w:numPr>
        <w:ilvl w:val="4"/>
      </w:numPr>
      <w:tabs>
        <w:tab w:val="clear" w:pos="397"/>
        <w:tab w:val="left" w:pos="1134"/>
      </w:tabs>
      <w:outlineLvl w:val="4"/>
    </w:pPr>
    <w:rPr>
      <w:caps w:val="0"/>
      <w:smallCaps/>
      <w:sz w:val="24"/>
    </w:rPr>
  </w:style>
  <w:style w:type="paragraph" w:styleId="Heading6">
    <w:name w:val="heading 6"/>
    <w:basedOn w:val="Normal"/>
    <w:next w:val="Normal"/>
    <w:semiHidden/>
    <w:qFormat/>
    <w:rsid w:val="00B24D40"/>
    <w:pPr>
      <w:keepNext/>
      <w:numPr>
        <w:ilvl w:val="5"/>
        <w:numId w:val="1"/>
      </w:numPr>
      <w:tabs>
        <w:tab w:val="clear" w:pos="0"/>
        <w:tab w:val="left" w:pos="1361"/>
      </w:tabs>
      <w:spacing w:before="240" w:after="240"/>
      <w:outlineLvl w:val="5"/>
    </w:pPr>
    <w:rPr>
      <w:rFonts w:ascii="Franklin Gothic Demi" w:hAnsi="Franklin Gothic Demi"/>
      <w:smallCaps/>
      <w:sz w:val="24"/>
    </w:rPr>
  </w:style>
  <w:style w:type="paragraph" w:styleId="Heading7">
    <w:name w:val="heading 7"/>
    <w:basedOn w:val="Heading6"/>
    <w:next w:val="Normal"/>
    <w:semiHidden/>
    <w:qFormat/>
    <w:rsid w:val="00B24D40"/>
    <w:pPr>
      <w:numPr>
        <w:ilvl w:val="6"/>
      </w:numPr>
      <w:tabs>
        <w:tab w:val="clear" w:pos="0"/>
        <w:tab w:val="clear" w:pos="1361"/>
        <w:tab w:val="left" w:pos="1588"/>
      </w:tabs>
      <w:outlineLvl w:val="6"/>
    </w:pPr>
  </w:style>
  <w:style w:type="paragraph" w:styleId="Heading8">
    <w:name w:val="heading 8"/>
    <w:basedOn w:val="Heading7"/>
    <w:next w:val="Normal"/>
    <w:semiHidden/>
    <w:qFormat/>
    <w:rsid w:val="009464A2"/>
    <w:pPr>
      <w:numPr>
        <w:ilvl w:val="7"/>
      </w:numPr>
      <w:tabs>
        <w:tab w:val="clear" w:pos="0"/>
        <w:tab w:val="clear" w:pos="1588"/>
        <w:tab w:val="left" w:pos="1814"/>
      </w:tabs>
      <w:outlineLvl w:val="7"/>
    </w:pPr>
  </w:style>
  <w:style w:type="paragraph" w:styleId="Heading9">
    <w:name w:val="heading 9"/>
    <w:basedOn w:val="Normal"/>
    <w:next w:val="Normal"/>
    <w:semiHidden/>
    <w:rsid w:val="003C3F01"/>
    <w:pPr>
      <w:numPr>
        <w:ilvl w:val="8"/>
        <w:numId w:val="1"/>
      </w:numPr>
      <w:tabs>
        <w:tab w:val="clear" w:pos="1702"/>
        <w:tab w:val="left" w:pos="397"/>
      </w:tabs>
      <w:ind w:left="0"/>
      <w:outlineLvl w:val="8"/>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B3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780C"/>
    <w:rPr>
      <w:rFonts w:ascii="Tahoma" w:hAnsi="Tahoma" w:cs="Tahoma"/>
      <w:sz w:val="16"/>
      <w:szCs w:val="16"/>
    </w:rPr>
  </w:style>
  <w:style w:type="paragraph" w:customStyle="1" w:styleId="HUNBullet1">
    <w:name w:val="HUN_Bullet 1"/>
    <w:basedOn w:val="Normal"/>
    <w:qFormat/>
    <w:rsid w:val="00ED684B"/>
    <w:pPr>
      <w:numPr>
        <w:numId w:val="2"/>
      </w:numPr>
      <w:ind w:left="568" w:hanging="284"/>
      <w:jc w:val="both"/>
    </w:pPr>
  </w:style>
  <w:style w:type="paragraph" w:customStyle="1" w:styleId="HUNBullet2">
    <w:name w:val="HUN_Bullet 2"/>
    <w:basedOn w:val="Normal"/>
    <w:qFormat/>
    <w:rsid w:val="00ED684B"/>
    <w:pPr>
      <w:numPr>
        <w:numId w:val="3"/>
      </w:numPr>
      <w:tabs>
        <w:tab w:val="left" w:pos="907"/>
      </w:tabs>
      <w:ind w:left="851" w:hanging="284"/>
      <w:jc w:val="both"/>
    </w:pPr>
  </w:style>
  <w:style w:type="paragraph" w:customStyle="1" w:styleId="HUNBullet3">
    <w:name w:val="HUN_Bullet 3"/>
    <w:basedOn w:val="Normal"/>
    <w:qFormat/>
    <w:rsid w:val="00ED684B"/>
    <w:pPr>
      <w:numPr>
        <w:numId w:val="4"/>
      </w:numPr>
      <w:tabs>
        <w:tab w:val="left" w:pos="1191"/>
      </w:tabs>
      <w:ind w:left="1135" w:hanging="284"/>
      <w:jc w:val="both"/>
    </w:pPr>
  </w:style>
  <w:style w:type="paragraph" w:customStyle="1" w:styleId="HUNAlphabeticallist1">
    <w:name w:val="HUN_Alphabetical list 1"/>
    <w:basedOn w:val="Normal"/>
    <w:qFormat/>
    <w:rsid w:val="00C41CC8"/>
    <w:pPr>
      <w:numPr>
        <w:numId w:val="5"/>
      </w:numPr>
      <w:ind w:left="568" w:hanging="284"/>
      <w:jc w:val="both"/>
    </w:pPr>
  </w:style>
  <w:style w:type="paragraph" w:customStyle="1" w:styleId="HUNAnnexheading1">
    <w:name w:val="HUN_Annex heading 1"/>
    <w:basedOn w:val="Heading1"/>
    <w:next w:val="Normal"/>
    <w:qFormat/>
    <w:rsid w:val="00EF0CF4"/>
  </w:style>
  <w:style w:type="paragraph" w:customStyle="1" w:styleId="HUNAnnexheading2">
    <w:name w:val="HUN_Annex heading 2"/>
    <w:basedOn w:val="Heading2"/>
    <w:next w:val="Normal"/>
    <w:qFormat/>
    <w:rsid w:val="00EF0CF4"/>
    <w:pPr>
      <w:pageBreakBefore/>
      <w:numPr>
        <w:ilvl w:val="0"/>
        <w:numId w:val="6"/>
      </w:numPr>
      <w:tabs>
        <w:tab w:val="clear" w:pos="567"/>
        <w:tab w:val="left" w:pos="397"/>
      </w:tabs>
      <w:ind w:left="0" w:firstLine="0"/>
    </w:pPr>
  </w:style>
  <w:style w:type="table" w:styleId="TableGrid">
    <w:name w:val="Table Grid"/>
    <w:basedOn w:val="TableNormal"/>
    <w:uiPriority w:val="59"/>
    <w:rsid w:val="00067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AM">
    <w:name w:val="AAM"/>
    <w:basedOn w:val="TableNormal"/>
    <w:uiPriority w:val="99"/>
    <w:qFormat/>
    <w:rsid w:val="00BD771B"/>
    <w:pPr>
      <w:ind w:left="57" w:right="57"/>
    </w:pPr>
    <w:rPr>
      <w:rFonts w:ascii="Franklin Gothic Book" w:hAnsi="Franklin Gothic Book"/>
    </w:rPr>
    <w:tblPr>
      <w:tblStyleRowBandSize w:val="1"/>
      <w:tblStyleColBandSize w:val="1"/>
      <w:tblInd w:w="57" w:type="dxa"/>
      <w:tblBorders>
        <w:insideH w:val="single" w:sz="4" w:space="0" w:color="DCEEC5"/>
      </w:tblBorders>
      <w:tblCellMar>
        <w:top w:w="0" w:type="dxa"/>
        <w:left w:w="0" w:type="dxa"/>
        <w:bottom w:w="0" w:type="dxa"/>
        <w:right w:w="0" w:type="dxa"/>
      </w:tblCellMar>
    </w:tblPr>
    <w:tcPr>
      <w:shd w:val="clear" w:color="auto" w:fill="auto"/>
    </w:tcPr>
    <w:tblStylePr w:type="firstRow">
      <w:rPr>
        <w:rFonts w:ascii="Tahoma" w:hAnsi="Tahoma"/>
        <w:b/>
        <w:caps w:val="0"/>
        <w:smallCaps/>
        <w:sz w:val="20"/>
      </w:rPr>
      <w:tblPr/>
      <w:tcPr>
        <w:tcBorders>
          <w:bottom w:val="nil"/>
        </w:tcBorders>
        <w:shd w:val="clear" w:color="auto" w:fill="76923C"/>
      </w:tcPr>
    </w:tblStylePr>
    <w:tblStylePr w:type="lastRow">
      <w:rPr>
        <w:rFonts w:ascii="Tahoma" w:hAnsi="Tahoma"/>
        <w:b/>
        <w:caps w:val="0"/>
        <w:smallCaps/>
        <w:sz w:val="20"/>
      </w:rPr>
      <w:tblPr/>
      <w:tcPr>
        <w:tcBorders>
          <w:top w:val="nil"/>
        </w:tcBorders>
        <w:shd w:val="clear" w:color="auto" w:fill="76923C"/>
      </w:tcPr>
    </w:tblStylePr>
    <w:tblStylePr w:type="firstCol">
      <w:rPr>
        <w:rFonts w:ascii="Tahoma" w:hAnsi="Tahoma"/>
        <w:b/>
        <w:caps w:val="0"/>
        <w:smallCaps/>
        <w:sz w:val="20"/>
      </w:rPr>
      <w:tblPr/>
      <w:tcPr>
        <w:shd w:val="clear" w:color="auto" w:fill="76923C"/>
      </w:tcPr>
    </w:tblStylePr>
    <w:tblStylePr w:type="lastCol">
      <w:rPr>
        <w:rFonts w:ascii="Tahoma" w:hAnsi="Tahoma"/>
        <w:b/>
        <w:caps w:val="0"/>
        <w:smallCaps/>
        <w:sz w:val="20"/>
      </w:rPr>
      <w:tblPr/>
      <w:tcPr>
        <w:shd w:val="clear" w:color="auto" w:fill="76923C"/>
      </w:tcPr>
    </w:tblStylePr>
    <w:tblStylePr w:type="band1Vert">
      <w:rPr>
        <w:rFonts w:ascii="Tahoma" w:hAnsi="Tahoma"/>
        <w:sz w:val="20"/>
      </w:rPr>
    </w:tblStylePr>
    <w:tblStylePr w:type="band2Vert">
      <w:rPr>
        <w:rFonts w:ascii="Tahoma" w:hAnsi="Tahoma"/>
        <w:sz w:val="20"/>
      </w:rPr>
    </w:tblStylePr>
    <w:tblStylePr w:type="band1Horz">
      <w:rPr>
        <w:rFonts w:ascii="Tahoma" w:hAnsi="Tahoma"/>
        <w:sz w:val="20"/>
      </w:rPr>
      <w:tblPr/>
      <w:tcPr>
        <w:tcBorders>
          <w:top w:val="nil"/>
          <w:left w:val="nil"/>
          <w:bottom w:val="nil"/>
          <w:right w:val="nil"/>
          <w:insideH w:val="nil"/>
          <w:insideV w:val="nil"/>
          <w:tl2br w:val="nil"/>
          <w:tr2bl w:val="nil"/>
        </w:tcBorders>
        <w:shd w:val="clear" w:color="auto" w:fill="C2D69B"/>
      </w:tcPr>
    </w:tblStylePr>
    <w:tblStylePr w:type="band2Horz">
      <w:rPr>
        <w:rFonts w:ascii="Tahoma" w:hAnsi="Tahoma"/>
        <w:sz w:val="20"/>
      </w:rPr>
      <w:tblPr/>
      <w:tcPr>
        <w:tcBorders>
          <w:top w:val="nil"/>
          <w:left w:val="nil"/>
          <w:bottom w:val="nil"/>
          <w:right w:val="nil"/>
          <w:insideH w:val="nil"/>
          <w:insideV w:val="nil"/>
          <w:tl2br w:val="nil"/>
          <w:tr2bl w:val="nil"/>
        </w:tcBorders>
        <w:shd w:val="clear" w:color="auto" w:fill="D6E3BC"/>
      </w:tcPr>
    </w:tblStylePr>
    <w:tblStylePr w:type="neCell">
      <w:tblPr/>
      <w:tcPr>
        <w:tcBorders>
          <w:bottom w:val="nil"/>
        </w:tcBorders>
        <w:shd w:val="clear" w:color="auto" w:fill="76923C"/>
      </w:tcPr>
    </w:tblStylePr>
    <w:tblStylePr w:type="nwCell">
      <w:tblPr/>
      <w:tcPr>
        <w:tcBorders>
          <w:bottom w:val="nil"/>
        </w:tcBorders>
        <w:shd w:val="clear" w:color="auto" w:fill="76923C"/>
      </w:tcPr>
    </w:tblStylePr>
    <w:tblStylePr w:type="seCell">
      <w:tblPr/>
      <w:tcPr>
        <w:tcBorders>
          <w:top w:val="nil"/>
        </w:tcBorders>
        <w:shd w:val="clear" w:color="auto" w:fill="76923C"/>
      </w:tcPr>
    </w:tblStylePr>
    <w:tblStylePr w:type="swCell">
      <w:tblPr/>
      <w:tcPr>
        <w:tcBorders>
          <w:top w:val="nil"/>
        </w:tcBorders>
        <w:shd w:val="clear" w:color="auto" w:fill="76923C"/>
      </w:tcPr>
    </w:tblStylePr>
  </w:style>
  <w:style w:type="table" w:customStyle="1" w:styleId="AAM4">
    <w:name w:val="AAM4"/>
    <w:basedOn w:val="TableNormal"/>
    <w:uiPriority w:val="99"/>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tcPr>
      <w:shd w:val="clear" w:color="auto" w:fill="auto"/>
    </w:tcPr>
    <w:tblStylePr w:type="firstRow">
      <w:pPr>
        <w:jc w:val="center"/>
      </w:pPr>
      <w:rPr>
        <w:rFonts w:ascii="Tahoma" w:hAnsi="Tahoma"/>
        <w:b/>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lastRow">
      <w:rPr>
        <w:rFonts w:ascii="Tahoma" w:hAnsi="Tahoma"/>
        <w:b/>
        <w:caps w:val="0"/>
        <w:smallCaps/>
        <w:sz w:val="20"/>
      </w:rPr>
      <w:tblPr/>
      <w:tcPr>
        <w:tcBorders>
          <w:top w:val="double" w:sz="12"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firstCol">
      <w:rPr>
        <w:rFonts w:ascii="Tahoma" w:hAnsi="Tahoma"/>
        <w:b/>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shd w:val="clear" w:color="auto" w:fill="auto"/>
      </w:tcPr>
    </w:tblStylePr>
    <w:tblStylePr w:type="lastCol">
      <w:rPr>
        <w:rFonts w:ascii="Tahoma" w:hAnsi="Tahoma"/>
        <w:b/>
        <w:caps w:val="0"/>
        <w:smallCaps/>
        <w:sz w:val="20"/>
      </w:rPr>
      <w:tblPr/>
      <w:tcPr>
        <w:tcBorders>
          <w:left w:val="single" w:sz="18" w:space="0" w:color="53564F"/>
        </w:tcBorders>
        <w:shd w:val="clear" w:color="auto" w:fill="auto"/>
      </w:tcPr>
    </w:tblStylePr>
    <w:tblStylePr w:type="neCell">
      <w:tblPr/>
      <w:tcPr>
        <w:tcBorders>
          <w:left w:val="single" w:sz="18" w:space="0" w:color="53564F"/>
        </w:tcBorders>
        <w:shd w:val="clear" w:color="auto" w:fill="BFBFBF"/>
      </w:tcPr>
    </w:tblStylePr>
    <w:tblStylePr w:type="nwCell">
      <w:tblPr/>
      <w:tcPr>
        <w:tcBorders>
          <w:right w:val="single" w:sz="18" w:space="0" w:color="53564F"/>
        </w:tcBorders>
        <w:shd w:val="clear" w:color="auto" w:fill="BFBFBF"/>
      </w:tcPr>
    </w:tblStylePr>
    <w:tblStylePr w:type="seCell">
      <w:tblPr/>
      <w:tcPr>
        <w:tcBorders>
          <w:left w:val="single" w:sz="18" w:space="0" w:color="53564F"/>
        </w:tcBorders>
        <w:shd w:val="clear" w:color="auto" w:fill="BFBFBF"/>
      </w:tcPr>
    </w:tblStylePr>
    <w:tblStylePr w:type="swCell">
      <w:tblPr/>
      <w:tcPr>
        <w:tcBorders>
          <w:right w:val="single" w:sz="18" w:space="0" w:color="53564F"/>
        </w:tcBorders>
        <w:shd w:val="clear" w:color="auto" w:fill="BFBFBF"/>
      </w:tcPr>
    </w:tblStylePr>
  </w:style>
  <w:style w:type="table" w:customStyle="1" w:styleId="AAM2">
    <w:name w:val="AAM_2"/>
    <w:basedOn w:val="TableNormal"/>
    <w:uiPriority w:val="99"/>
    <w:qFormat/>
    <w:rsid w:val="00BD771B"/>
    <w:pPr>
      <w:ind w:left="57" w:right="57"/>
    </w:pPr>
    <w:rPr>
      <w:rFonts w:ascii="Franklin Gothic Book" w:hAnsi="Franklin Gothic Book"/>
    </w:rPr>
    <w:tblPr>
      <w:tblInd w:w="57" w:type="dxa"/>
      <w:tblBorders>
        <w:insideH w:val="single" w:sz="4" w:space="0" w:color="8CC63F"/>
        <w:insideV w:val="single" w:sz="4" w:space="0" w:color="8CC63F"/>
      </w:tblBorders>
      <w:tblCellMar>
        <w:top w:w="0" w:type="dxa"/>
        <w:left w:w="0" w:type="dxa"/>
        <w:bottom w:w="0" w:type="dxa"/>
        <w:right w:w="0" w:type="dxa"/>
      </w:tblCellMar>
    </w:tblPr>
    <w:tblStylePr w:type="firstRow">
      <w:pPr>
        <w:jc w:val="center"/>
      </w:pPr>
      <w:rPr>
        <w:rFonts w:ascii="Tahoma" w:hAnsi="Tahoma"/>
        <w:b/>
        <w:i w:val="0"/>
        <w:caps w:val="0"/>
        <w:smallCaps/>
        <w:strike w:val="0"/>
        <w:dstrike w:val="0"/>
        <w:outline w:val="0"/>
        <w:shadow w:val="0"/>
        <w:emboss w:val="0"/>
        <w:imprint w:val="0"/>
        <w:vanish w:val="0"/>
        <w:color w:val="auto"/>
        <w:sz w:val="20"/>
        <w:vertAlign w:val="baseline"/>
      </w:rPr>
      <w:tblPr/>
      <w:tcPr>
        <w:tcBorders>
          <w:top w:val="nil"/>
          <w:left w:val="nil"/>
          <w:bottom w:val="single" w:sz="18" w:space="0" w:color="8CC63F"/>
          <w:right w:val="nil"/>
          <w:insideH w:val="nil"/>
          <w:insideV w:val="single" w:sz="2" w:space="0" w:color="8CC63F"/>
          <w:tl2br w:val="nil"/>
          <w:tr2bl w:val="nil"/>
        </w:tcBorders>
        <w:vAlign w:val="center"/>
      </w:tcPr>
    </w:tblStylePr>
    <w:tblStylePr w:type="lastRow">
      <w:rPr>
        <w:rFonts w:ascii="Tahoma" w:hAnsi="Tahoma"/>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Tahoma" w:hAnsi="Tahoma"/>
        <w:b/>
        <w:caps w:val="0"/>
        <w:smallCaps/>
        <w:sz w:val="20"/>
      </w:rPr>
      <w:tblPr/>
      <w:tcPr>
        <w:tcBorders>
          <w:top w:val="nil"/>
          <w:left w:val="nil"/>
          <w:bottom w:val="nil"/>
          <w:right w:val="single" w:sz="18" w:space="0" w:color="8CC63F"/>
          <w:insideH w:val="nil"/>
          <w:insideV w:val="nil"/>
          <w:tl2br w:val="nil"/>
          <w:tr2bl w:val="nil"/>
        </w:tcBorders>
      </w:tcPr>
    </w:tblStylePr>
    <w:tblStylePr w:type="lastCol">
      <w:rPr>
        <w:rFonts w:ascii="Tahoma" w:hAnsi="Tahoma"/>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right w:val="single" w:sz="18" w:space="0" w:color="8CC63F"/>
        </w:tcBorders>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table" w:customStyle="1" w:styleId="AAM3">
    <w:name w:val="AAM_3"/>
    <w:basedOn w:val="TableNormal"/>
    <w:uiPriority w:val="99"/>
    <w:qFormat/>
    <w:rsid w:val="007D5B24"/>
    <w:pPr>
      <w:spacing w:before="60" w:after="120" w:line="280" w:lineRule="atLeast"/>
      <w:ind w:left="57" w:right="57"/>
      <w:jc w:val="center"/>
    </w:pPr>
    <w:rPr>
      <w:rFonts w:ascii="Franklin Gothic Book" w:hAnsi="Franklin Gothic Book"/>
    </w:rPr>
    <w:tblPr>
      <w:tblStyleRowBandSize w:val="1"/>
      <w:tblStyleColBandSize w:val="1"/>
      <w:tblInd w:w="57" w:type="dxa"/>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tcPr>
      <w:vAlign w:val="center"/>
    </w:tcPr>
    <w:tblStylePr w:type="firstRow">
      <w:pPr>
        <w:wordWrap/>
        <w:contextualSpacing w:val="0"/>
        <w:mirrorIndents w:val="0"/>
        <w:jc w:val="center"/>
      </w:pPr>
      <w:rPr>
        <w:rFonts w:ascii="Tahoma" w:hAnsi="Tahoma"/>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2" w:space="0" w:color="53564F"/>
          <w:tl2br w:val="nil"/>
          <w:tr2bl w:val="nil"/>
        </w:tcBorders>
        <w:shd w:val="clear" w:color="auto" w:fill="DCEEC5"/>
      </w:tcPr>
    </w:tblStylePr>
    <w:tblStylePr w:type="lastRow">
      <w:rPr>
        <w:rFonts w:ascii="Tahoma" w:hAnsi="Tahoma"/>
        <w:b/>
        <w:i w:val="0"/>
        <w:caps w:val="0"/>
        <w:smallCaps/>
        <w:sz w:val="20"/>
      </w:rPr>
      <w:tblPr/>
      <w:tcPr>
        <w:tcBorders>
          <w:top w:val="double" w:sz="12" w:space="0" w:color="53564F"/>
          <w:left w:val="single" w:sz="18" w:space="0" w:color="53564F"/>
          <w:bottom w:val="single" w:sz="18" w:space="0" w:color="53564F"/>
          <w:right w:val="single" w:sz="18" w:space="0" w:color="53564F"/>
          <w:insideH w:val="nil"/>
          <w:insideV w:val="nil"/>
          <w:tl2br w:val="nil"/>
          <w:tr2bl w:val="nil"/>
        </w:tcBorders>
        <w:shd w:val="clear" w:color="auto" w:fill="DCEEC5"/>
      </w:tcPr>
    </w:tblStylePr>
    <w:tblStylePr w:type="firstCol">
      <w:rPr>
        <w:rFonts w:ascii="Tahoma" w:hAnsi="Tahoma"/>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lastCol">
      <w:rPr>
        <w:rFonts w:ascii="Tahoma" w:hAnsi="Tahoma"/>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band1Vert">
      <w:rPr>
        <w:rFonts w:ascii="Tahoma" w:hAnsi="Tahoma"/>
        <w:b w:val="0"/>
        <w:i w:val="0"/>
        <w:sz w:val="20"/>
      </w:rPr>
    </w:tblStylePr>
    <w:tblStylePr w:type="band2Vert">
      <w:rPr>
        <w:rFonts w:ascii="Tahoma" w:hAnsi="Tahoma"/>
        <w:b w:val="0"/>
        <w:i w:val="0"/>
        <w:sz w:val="20"/>
      </w:rPr>
    </w:tblStylePr>
    <w:tblStylePr w:type="band1Horz">
      <w:rPr>
        <w:rFonts w:ascii="Tahoma" w:hAnsi="Tahoma"/>
        <w:b w:val="0"/>
        <w:i w:val="0"/>
        <w:sz w:val="20"/>
      </w:rPr>
    </w:tblStylePr>
    <w:tblStylePr w:type="band2Horz">
      <w:rPr>
        <w:rFonts w:ascii="Tahoma" w:hAnsi="Tahoma"/>
        <w:b w:val="0"/>
        <w:i w:val="0"/>
        <w:sz w:val="20"/>
      </w:r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left w:val="single" w:sz="18" w:space="0" w:color="53564F"/>
        </w:tcBorders>
      </w:tcPr>
    </w:tblStylePr>
    <w:tblStylePr w:type="swCell">
      <w:tblPr/>
      <w:tcPr>
        <w:tcBorders>
          <w:right w:val="single" w:sz="18" w:space="0" w:color="53564F"/>
        </w:tcBorders>
      </w:tcPr>
    </w:tblStylePr>
  </w:style>
  <w:style w:type="paragraph" w:styleId="Header">
    <w:name w:val="header"/>
    <w:basedOn w:val="Normal"/>
    <w:link w:val="HeaderChar"/>
    <w:uiPriority w:val="99"/>
    <w:rsid w:val="00A96E9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96E95"/>
    <w:rPr>
      <w:rFonts w:ascii="Franklin Gothic Book" w:hAnsi="Franklin Gothic Book"/>
    </w:rPr>
  </w:style>
  <w:style w:type="paragraph" w:styleId="Footer">
    <w:name w:val="footer"/>
    <w:basedOn w:val="Normal"/>
    <w:link w:val="FooterChar"/>
    <w:uiPriority w:val="99"/>
    <w:semiHidden/>
    <w:rsid w:val="00A96E95"/>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A96E95"/>
    <w:rPr>
      <w:rFonts w:ascii="Franklin Gothic Book" w:hAnsi="Franklin Gothic Book"/>
    </w:rPr>
  </w:style>
  <w:style w:type="paragraph" w:customStyle="1" w:styleId="HUNDocumentTitle">
    <w:name w:val="HUN_Document Title"/>
    <w:basedOn w:val="Normal"/>
    <w:qFormat/>
    <w:rsid w:val="00EA6C20"/>
    <w:pPr>
      <w:spacing w:before="3480" w:after="240"/>
    </w:pPr>
    <w:rPr>
      <w:rFonts w:ascii="Franklin Gothic Demi" w:hAnsi="Franklin Gothic Demi"/>
      <w:smallCaps/>
      <w:sz w:val="70"/>
    </w:rPr>
  </w:style>
  <w:style w:type="paragraph" w:customStyle="1" w:styleId="HUNDocumentSubject">
    <w:name w:val="HUN_Document Subject"/>
    <w:basedOn w:val="Normal"/>
    <w:qFormat/>
    <w:rsid w:val="00EA6C20"/>
    <w:pPr>
      <w:spacing w:before="120"/>
      <w:ind w:right="4536"/>
    </w:pPr>
    <w:rPr>
      <w:sz w:val="30"/>
    </w:rPr>
  </w:style>
  <w:style w:type="paragraph" w:styleId="TOC1">
    <w:name w:val="toc 1"/>
    <w:basedOn w:val="Normal"/>
    <w:next w:val="Normal"/>
    <w:autoRedefine/>
    <w:uiPriority w:val="39"/>
    <w:qFormat/>
    <w:rsid w:val="0082208D"/>
    <w:pPr>
      <w:keepNext/>
      <w:pBdr>
        <w:top w:val="single" w:sz="18" w:space="1" w:color="FFFFFF"/>
        <w:bottom w:val="single" w:sz="18" w:space="1" w:color="FFFFFF"/>
        <w:between w:val="single" w:sz="12" w:space="1" w:color="FFFFFF"/>
      </w:pBdr>
      <w:shd w:val="clear" w:color="auto" w:fill="BFBFBF"/>
      <w:tabs>
        <w:tab w:val="left" w:pos="284"/>
        <w:tab w:val="right" w:pos="9015"/>
      </w:tabs>
      <w:spacing w:before="0" w:after="0" w:line="240" w:lineRule="auto"/>
    </w:pPr>
    <w:rPr>
      <w:caps/>
      <w:noProof/>
    </w:rPr>
  </w:style>
  <w:style w:type="paragraph" w:styleId="TOC2">
    <w:name w:val="toc 2"/>
    <w:basedOn w:val="Normal"/>
    <w:next w:val="Normal"/>
    <w:autoRedefine/>
    <w:uiPriority w:val="39"/>
    <w:qFormat/>
    <w:rsid w:val="0082208D"/>
    <w:pPr>
      <w:pBdr>
        <w:between w:val="single" w:sz="12" w:space="1" w:color="FFFFFF"/>
      </w:pBdr>
      <w:shd w:val="clear" w:color="auto" w:fill="DCEEC5"/>
      <w:tabs>
        <w:tab w:val="left" w:pos="454"/>
        <w:tab w:val="right" w:pos="9015"/>
      </w:tabs>
      <w:spacing w:before="0" w:after="0" w:line="240" w:lineRule="auto"/>
    </w:pPr>
  </w:style>
  <w:style w:type="paragraph" w:styleId="TOC3">
    <w:name w:val="toc 3"/>
    <w:basedOn w:val="Normal"/>
    <w:next w:val="Normal"/>
    <w:autoRedefine/>
    <w:uiPriority w:val="39"/>
    <w:qFormat/>
    <w:rsid w:val="0082208D"/>
    <w:pPr>
      <w:pBdr>
        <w:between w:val="single" w:sz="12" w:space="1" w:color="FFFFFF"/>
      </w:pBdr>
      <w:shd w:val="clear" w:color="auto" w:fill="DCEEC5"/>
      <w:tabs>
        <w:tab w:val="left" w:pos="624"/>
        <w:tab w:val="right" w:pos="9015"/>
      </w:tabs>
      <w:spacing w:before="0" w:after="0" w:line="240" w:lineRule="auto"/>
    </w:pPr>
  </w:style>
  <w:style w:type="paragraph" w:styleId="TOC4">
    <w:name w:val="toc 4"/>
    <w:basedOn w:val="Normal"/>
    <w:next w:val="Normal"/>
    <w:autoRedefine/>
    <w:uiPriority w:val="39"/>
    <w:rsid w:val="0082208D"/>
    <w:pPr>
      <w:pBdr>
        <w:between w:val="single" w:sz="12" w:space="1" w:color="FFFFFF"/>
      </w:pBdr>
      <w:shd w:val="clear" w:color="auto" w:fill="DCEEC5"/>
      <w:tabs>
        <w:tab w:val="left" w:pos="794"/>
        <w:tab w:val="right" w:pos="9015"/>
      </w:tabs>
      <w:spacing w:before="0" w:after="0" w:line="240" w:lineRule="auto"/>
    </w:pPr>
  </w:style>
  <w:style w:type="paragraph" w:styleId="TOC5">
    <w:name w:val="toc 5"/>
    <w:basedOn w:val="Normal"/>
    <w:next w:val="Normal"/>
    <w:autoRedefine/>
    <w:uiPriority w:val="39"/>
    <w:rsid w:val="0082208D"/>
    <w:pPr>
      <w:pBdr>
        <w:between w:val="single" w:sz="12" w:space="1" w:color="FFFFFF"/>
      </w:pBdr>
      <w:shd w:val="clear" w:color="auto" w:fill="DCEEC5"/>
      <w:tabs>
        <w:tab w:val="left" w:pos="964"/>
        <w:tab w:val="right" w:pos="9015"/>
      </w:tabs>
      <w:spacing w:before="0" w:after="0" w:line="240" w:lineRule="auto"/>
    </w:pPr>
  </w:style>
  <w:style w:type="paragraph" w:styleId="TOC6">
    <w:name w:val="toc 6"/>
    <w:basedOn w:val="Normal"/>
    <w:next w:val="Normal"/>
    <w:autoRedefine/>
    <w:uiPriority w:val="39"/>
    <w:rsid w:val="0082208D"/>
    <w:pPr>
      <w:pBdr>
        <w:between w:val="single" w:sz="12" w:space="1" w:color="FFFFFF"/>
      </w:pBdr>
      <w:shd w:val="clear" w:color="auto" w:fill="DCEEC5"/>
      <w:tabs>
        <w:tab w:val="left" w:pos="1134"/>
        <w:tab w:val="right" w:pos="9015"/>
      </w:tabs>
      <w:spacing w:before="0" w:after="0" w:line="240" w:lineRule="auto"/>
    </w:pPr>
  </w:style>
  <w:style w:type="paragraph" w:styleId="TOC7">
    <w:name w:val="toc 7"/>
    <w:basedOn w:val="Normal"/>
    <w:next w:val="Normal"/>
    <w:autoRedefine/>
    <w:uiPriority w:val="39"/>
    <w:rsid w:val="0082208D"/>
    <w:pPr>
      <w:pBdr>
        <w:between w:val="single" w:sz="12" w:space="1" w:color="FFFFFF"/>
      </w:pBdr>
      <w:shd w:val="clear" w:color="auto" w:fill="DCEEC5"/>
      <w:tabs>
        <w:tab w:val="left" w:pos="1304"/>
        <w:tab w:val="right" w:pos="9015"/>
      </w:tabs>
      <w:spacing w:before="0" w:after="0" w:line="240" w:lineRule="auto"/>
    </w:pPr>
  </w:style>
  <w:style w:type="paragraph" w:styleId="TOC8">
    <w:name w:val="toc 8"/>
    <w:basedOn w:val="Normal"/>
    <w:next w:val="Normal"/>
    <w:autoRedefine/>
    <w:uiPriority w:val="39"/>
    <w:rsid w:val="0082208D"/>
    <w:pPr>
      <w:pBdr>
        <w:between w:val="single" w:sz="12" w:space="1" w:color="FFFFFF"/>
      </w:pBdr>
      <w:shd w:val="clear" w:color="auto" w:fill="DCEEC5"/>
      <w:tabs>
        <w:tab w:val="left" w:pos="1474"/>
        <w:tab w:val="right" w:pos="9015"/>
      </w:tabs>
      <w:spacing w:before="0" w:after="0" w:line="240" w:lineRule="auto"/>
    </w:pPr>
  </w:style>
  <w:style w:type="character" w:styleId="Hyperlink">
    <w:name w:val="Hyperlink"/>
    <w:aliases w:val="AAM_Hyperlink"/>
    <w:basedOn w:val="DefaultParagraphFont"/>
    <w:uiPriority w:val="99"/>
    <w:unhideWhenUsed/>
    <w:rsid w:val="00572CAD"/>
    <w:rPr>
      <w:color w:val="0000FF"/>
      <w:u w:val="single"/>
    </w:rPr>
  </w:style>
  <w:style w:type="paragraph" w:customStyle="1" w:styleId="HUNReferencedateandTOCTitle">
    <w:name w:val="HUN_Reference date and TOC Title"/>
    <w:basedOn w:val="Normal"/>
    <w:rsid w:val="00A85CBE"/>
    <w:pPr>
      <w:spacing w:after="600"/>
      <w:ind w:right="-2"/>
    </w:pPr>
    <w:rPr>
      <w:rFonts w:ascii="Franklin Gothic Demi" w:hAnsi="Franklin Gothic Demi"/>
      <w:sz w:val="30"/>
    </w:rPr>
  </w:style>
  <w:style w:type="paragraph" w:customStyle="1" w:styleId="HUNDocumentTitle2">
    <w:name w:val="HUN_Document Title2"/>
    <w:basedOn w:val="Normal"/>
    <w:rsid w:val="006F7517"/>
    <w:pPr>
      <w:spacing w:before="240"/>
      <w:jc w:val="center"/>
    </w:pPr>
    <w:rPr>
      <w:rFonts w:ascii="Franklin Gothic Demi" w:hAnsi="Franklin Gothic Demi"/>
      <w:smallCaps/>
      <w:sz w:val="36"/>
    </w:rPr>
  </w:style>
  <w:style w:type="paragraph" w:customStyle="1" w:styleId="HUNDocumentSubtitle">
    <w:name w:val="HUN_Document Subtitle"/>
    <w:basedOn w:val="HUNDocumentTitle2"/>
    <w:rsid w:val="006F7517"/>
    <w:rPr>
      <w:smallCaps w:val="0"/>
      <w:sz w:val="24"/>
    </w:rPr>
  </w:style>
  <w:style w:type="paragraph" w:customStyle="1" w:styleId="HUNHeading1">
    <w:name w:val="HUN_Heading 1"/>
    <w:basedOn w:val="Heading1"/>
    <w:next w:val="HUNNormal"/>
    <w:qFormat/>
    <w:rsid w:val="006267DE"/>
    <w:pPr>
      <w:pageBreakBefore/>
      <w:numPr>
        <w:numId w:val="12"/>
      </w:numPr>
    </w:pPr>
  </w:style>
  <w:style w:type="paragraph" w:customStyle="1" w:styleId="HUNNormal">
    <w:name w:val="HUN_Normal"/>
    <w:basedOn w:val="Normal"/>
    <w:uiPriority w:val="99"/>
    <w:qFormat/>
    <w:rsid w:val="00F92868"/>
    <w:pPr>
      <w:jc w:val="both"/>
    </w:pPr>
  </w:style>
  <w:style w:type="paragraph" w:customStyle="1" w:styleId="HUNHeading2">
    <w:name w:val="HUN_Heading 2"/>
    <w:basedOn w:val="Heading2"/>
    <w:next w:val="HUNNormal"/>
    <w:qFormat/>
    <w:rsid w:val="006267DE"/>
    <w:pPr>
      <w:numPr>
        <w:numId w:val="12"/>
      </w:numPr>
    </w:pPr>
    <w:rPr>
      <w:szCs w:val="28"/>
    </w:rPr>
  </w:style>
  <w:style w:type="paragraph" w:customStyle="1" w:styleId="HUNHeading3">
    <w:name w:val="HUN_Heading 3"/>
    <w:basedOn w:val="Heading3"/>
    <w:next w:val="HUNNormal"/>
    <w:qFormat/>
    <w:rsid w:val="006267DE"/>
    <w:pPr>
      <w:numPr>
        <w:numId w:val="12"/>
      </w:numPr>
    </w:pPr>
  </w:style>
  <w:style w:type="paragraph" w:styleId="TOCHeading">
    <w:name w:val="TOC Heading"/>
    <w:basedOn w:val="Heading1"/>
    <w:next w:val="Normal"/>
    <w:uiPriority w:val="39"/>
    <w:unhideWhenUsed/>
    <w:qFormat/>
    <w:rsid w:val="0000706A"/>
    <w:pPr>
      <w:keepLines/>
      <w:tabs>
        <w:tab w:val="clear" w:pos="397"/>
      </w:tabs>
      <w:spacing w:before="480" w:after="0" w:line="276" w:lineRule="auto"/>
      <w:outlineLvl w:val="9"/>
    </w:pPr>
    <w:rPr>
      <w:rFonts w:ascii="Cambria" w:hAnsi="Cambria"/>
      <w:b/>
      <w:bCs/>
      <w:caps w:val="0"/>
      <w:color w:val="365F91"/>
      <w:sz w:val="28"/>
      <w:szCs w:val="28"/>
      <w:lang w:eastAsia="en-US"/>
    </w:rPr>
  </w:style>
  <w:style w:type="paragraph" w:customStyle="1" w:styleId="HUNHeading4">
    <w:name w:val="HUN_Heading 4"/>
    <w:basedOn w:val="Heading4"/>
    <w:next w:val="HUNNormal"/>
    <w:qFormat/>
    <w:rsid w:val="006267DE"/>
    <w:pPr>
      <w:numPr>
        <w:numId w:val="12"/>
      </w:numPr>
    </w:pPr>
    <w:rPr>
      <w:szCs w:val="24"/>
    </w:rPr>
  </w:style>
  <w:style w:type="paragraph" w:customStyle="1" w:styleId="HUNHeading5">
    <w:name w:val="HUN_Heading 5"/>
    <w:basedOn w:val="Heading5"/>
    <w:next w:val="HUNNormal"/>
    <w:qFormat/>
    <w:rsid w:val="006267DE"/>
    <w:pPr>
      <w:numPr>
        <w:numId w:val="12"/>
      </w:numPr>
    </w:pPr>
  </w:style>
  <w:style w:type="paragraph" w:customStyle="1" w:styleId="HUNHeading6">
    <w:name w:val="HUN_Heading 6"/>
    <w:basedOn w:val="Heading6"/>
    <w:next w:val="HUNNormal"/>
    <w:qFormat/>
    <w:rsid w:val="006267DE"/>
    <w:pPr>
      <w:numPr>
        <w:numId w:val="12"/>
      </w:numPr>
    </w:pPr>
  </w:style>
  <w:style w:type="paragraph" w:customStyle="1" w:styleId="HUNHeading7">
    <w:name w:val="HUN_Heading 7"/>
    <w:basedOn w:val="Heading7"/>
    <w:next w:val="HUNNormal"/>
    <w:qFormat/>
    <w:rsid w:val="006267DE"/>
    <w:pPr>
      <w:numPr>
        <w:numId w:val="12"/>
      </w:numPr>
    </w:pPr>
  </w:style>
  <w:style w:type="paragraph" w:customStyle="1" w:styleId="HUNHeading8">
    <w:name w:val="HUN_Heading 8"/>
    <w:basedOn w:val="Heading8"/>
    <w:next w:val="HUNNormal"/>
    <w:qFormat/>
    <w:rsid w:val="006267DE"/>
    <w:pPr>
      <w:numPr>
        <w:numId w:val="12"/>
      </w:numPr>
    </w:pPr>
  </w:style>
  <w:style w:type="paragraph" w:styleId="ListNumber">
    <w:name w:val="List Number"/>
    <w:basedOn w:val="Normal"/>
    <w:semiHidden/>
    <w:rsid w:val="004A49C3"/>
    <w:pPr>
      <w:numPr>
        <w:numId w:val="7"/>
      </w:numPr>
      <w:contextualSpacing/>
    </w:pPr>
  </w:style>
  <w:style w:type="paragraph" w:styleId="ListNumber2">
    <w:name w:val="List Number 2"/>
    <w:basedOn w:val="Normal"/>
    <w:uiPriority w:val="99"/>
    <w:semiHidden/>
    <w:rsid w:val="004A49C3"/>
    <w:pPr>
      <w:numPr>
        <w:numId w:val="8"/>
      </w:numPr>
      <w:contextualSpacing/>
    </w:pPr>
  </w:style>
  <w:style w:type="paragraph" w:styleId="ListNumber3">
    <w:name w:val="List Number 3"/>
    <w:basedOn w:val="Normal"/>
    <w:uiPriority w:val="99"/>
    <w:rsid w:val="004A49C3"/>
    <w:pPr>
      <w:numPr>
        <w:numId w:val="9"/>
      </w:numPr>
      <w:contextualSpacing/>
    </w:pPr>
  </w:style>
  <w:style w:type="paragraph" w:styleId="ListNumber4">
    <w:name w:val="List Number 4"/>
    <w:basedOn w:val="Normal"/>
    <w:semiHidden/>
    <w:rsid w:val="004A49C3"/>
    <w:pPr>
      <w:numPr>
        <w:numId w:val="10"/>
      </w:numPr>
      <w:contextualSpacing/>
    </w:pPr>
  </w:style>
  <w:style w:type="paragraph" w:styleId="ListNumber5">
    <w:name w:val="List Number 5"/>
    <w:basedOn w:val="Normal"/>
    <w:semiHidden/>
    <w:rsid w:val="004A49C3"/>
    <w:pPr>
      <w:numPr>
        <w:numId w:val="11"/>
      </w:numPr>
      <w:contextualSpacing/>
    </w:pPr>
  </w:style>
  <w:style w:type="paragraph" w:customStyle="1" w:styleId="HUNListNumber1">
    <w:name w:val="HUN_List Number 1"/>
    <w:basedOn w:val="ListNumber"/>
    <w:qFormat/>
    <w:rsid w:val="00E52C40"/>
    <w:pPr>
      <w:ind w:left="568" w:hanging="284"/>
    </w:pPr>
  </w:style>
  <w:style w:type="paragraph" w:customStyle="1" w:styleId="HUNListNumber2">
    <w:name w:val="HUN_List Number 2"/>
    <w:basedOn w:val="ListNumber2"/>
    <w:qFormat/>
    <w:rsid w:val="00E52C40"/>
    <w:pPr>
      <w:ind w:left="851" w:hanging="284"/>
    </w:pPr>
  </w:style>
  <w:style w:type="paragraph" w:customStyle="1" w:styleId="HUNListNumber3">
    <w:name w:val="HUN_List Number 3"/>
    <w:basedOn w:val="ListNumber3"/>
    <w:qFormat/>
    <w:rsid w:val="00E52C40"/>
    <w:pPr>
      <w:ind w:left="1135" w:hanging="284"/>
    </w:pPr>
  </w:style>
  <w:style w:type="paragraph" w:customStyle="1" w:styleId="HUNListNumber4">
    <w:name w:val="HUN_List Number 4"/>
    <w:basedOn w:val="ListNumber4"/>
    <w:qFormat/>
    <w:rsid w:val="006C6BC8"/>
  </w:style>
  <w:style w:type="paragraph" w:customStyle="1" w:styleId="HUNListNumber5">
    <w:name w:val="HUN_List Number 5"/>
    <w:basedOn w:val="ListNumber5"/>
    <w:qFormat/>
    <w:rsid w:val="006C6BC8"/>
  </w:style>
  <w:style w:type="paragraph" w:customStyle="1" w:styleId="HUNTOC1">
    <w:name w:val="HUN_TOC 1"/>
    <w:basedOn w:val="TOC1"/>
    <w:qFormat/>
    <w:rsid w:val="006B4135"/>
  </w:style>
  <w:style w:type="paragraph" w:customStyle="1" w:styleId="HUNTOC2">
    <w:name w:val="HUN_TOC 2"/>
    <w:basedOn w:val="TOC2"/>
    <w:qFormat/>
    <w:rsid w:val="006B4135"/>
  </w:style>
  <w:style w:type="paragraph" w:customStyle="1" w:styleId="HUNTOC3">
    <w:name w:val="HUN_TOC 3"/>
    <w:basedOn w:val="TOC3"/>
    <w:qFormat/>
    <w:rsid w:val="006B4135"/>
  </w:style>
  <w:style w:type="paragraph" w:customStyle="1" w:styleId="HUNTOC4">
    <w:name w:val="HUN_TOC 4"/>
    <w:basedOn w:val="TOC4"/>
    <w:qFormat/>
    <w:rsid w:val="006B4135"/>
  </w:style>
  <w:style w:type="paragraph" w:customStyle="1" w:styleId="HUNTOC5">
    <w:name w:val="HUN_TOC 5"/>
    <w:basedOn w:val="TOC5"/>
    <w:qFormat/>
    <w:rsid w:val="006B4135"/>
  </w:style>
  <w:style w:type="paragraph" w:customStyle="1" w:styleId="HUNTOC6">
    <w:name w:val="HUN_TOC 6"/>
    <w:basedOn w:val="TOC6"/>
    <w:qFormat/>
    <w:rsid w:val="006B4135"/>
  </w:style>
  <w:style w:type="paragraph" w:customStyle="1" w:styleId="HUNTOC7">
    <w:name w:val="HUN_TOC 7"/>
    <w:basedOn w:val="TOC7"/>
    <w:qFormat/>
    <w:rsid w:val="006B4135"/>
  </w:style>
  <w:style w:type="paragraph" w:customStyle="1" w:styleId="HUNTOC8">
    <w:name w:val="HUN_TOC 8"/>
    <w:basedOn w:val="TOC8"/>
    <w:qFormat/>
    <w:rsid w:val="006B4135"/>
  </w:style>
  <w:style w:type="table" w:customStyle="1" w:styleId="AAM5">
    <w:name w:val="AAM5"/>
    <w:basedOn w:val="TableNormal"/>
    <w:uiPriority w:val="99"/>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tblStylePr w:type="firstRow">
      <w:rPr>
        <w:rFonts w:ascii="Tahoma" w:hAnsi="Tahoma"/>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Row">
      <w:rPr>
        <w:rFonts w:ascii="Tahoma" w:hAnsi="Tahoma"/>
        <w:b/>
        <w:sz w:val="20"/>
      </w:rPr>
      <w:tblPr/>
      <w:tcPr>
        <w:tcBorders>
          <w:top w:val="double" w:sz="12" w:space="0" w:color="53564F"/>
          <w:left w:val="single" w:sz="18" w:space="0" w:color="53564F"/>
          <w:bottom w:val="single" w:sz="18" w:space="0" w:color="53564F"/>
          <w:right w:val="single" w:sz="18" w:space="0" w:color="53564F"/>
        </w:tcBorders>
        <w:shd w:val="clear" w:color="auto" w:fill="DCEEC5"/>
      </w:tcPr>
    </w:tblStylePr>
    <w:tblStylePr w:type="firstCol">
      <w:rPr>
        <w:rFonts w:ascii="Tahoma" w:hAnsi="Tahoma"/>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Col">
      <w:rPr>
        <w:rFonts w:ascii="Tahoma" w:hAnsi="Tahoma"/>
        <w:b/>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top w:val="double" w:sz="12" w:space="0" w:color="53564F"/>
          <w:left w:val="single" w:sz="18" w:space="0" w:color="53564F"/>
          <w:bottom w:val="single" w:sz="18" w:space="0" w:color="53564F"/>
          <w:right w:val="single" w:sz="18" w:space="0" w:color="53564F"/>
        </w:tcBorders>
      </w:tcPr>
    </w:tblStylePr>
    <w:tblStylePr w:type="swCell">
      <w:tblPr/>
      <w:tcPr>
        <w:tcBorders>
          <w:top w:val="double" w:sz="12" w:space="0" w:color="53564F"/>
          <w:left w:val="single" w:sz="18" w:space="0" w:color="53564F"/>
          <w:bottom w:val="single" w:sz="18" w:space="0" w:color="53564F"/>
          <w:right w:val="single" w:sz="18" w:space="0" w:color="53564F"/>
        </w:tcBorders>
      </w:tcPr>
    </w:tblStylePr>
  </w:style>
  <w:style w:type="character" w:styleId="PlaceholderText">
    <w:name w:val="Placeholder Text"/>
    <w:basedOn w:val="DefaultParagraphFont"/>
    <w:uiPriority w:val="99"/>
    <w:semiHidden/>
    <w:rsid w:val="00953FC0"/>
    <w:rPr>
      <w:color w:val="808080"/>
    </w:rPr>
  </w:style>
  <w:style w:type="paragraph" w:customStyle="1" w:styleId="HUNListContinue1">
    <w:name w:val="HUN_List Continue 1"/>
    <w:basedOn w:val="HUNNormal"/>
    <w:rsid w:val="00BE0A0A"/>
    <w:pPr>
      <w:ind w:left="567"/>
    </w:pPr>
  </w:style>
  <w:style w:type="paragraph" w:customStyle="1" w:styleId="HUNListContinue2">
    <w:name w:val="HUN_List Continue 2"/>
    <w:basedOn w:val="HUNListContinue1"/>
    <w:rsid w:val="00F7776D"/>
    <w:pPr>
      <w:ind w:left="851"/>
    </w:pPr>
  </w:style>
  <w:style w:type="paragraph" w:customStyle="1" w:styleId="HUNListContinue3">
    <w:name w:val="HUN_List Continue 3"/>
    <w:basedOn w:val="HUNListContinue2"/>
    <w:rsid w:val="00F7776D"/>
    <w:pPr>
      <w:ind w:left="1134"/>
    </w:pPr>
  </w:style>
  <w:style w:type="paragraph" w:styleId="TOC9">
    <w:name w:val="toc 9"/>
    <w:basedOn w:val="Normal"/>
    <w:next w:val="Normal"/>
    <w:autoRedefine/>
    <w:uiPriority w:val="39"/>
    <w:unhideWhenUsed/>
    <w:rsid w:val="002C49D7"/>
    <w:pPr>
      <w:spacing w:before="0" w:after="100" w:line="276" w:lineRule="auto"/>
      <w:ind w:left="1760"/>
    </w:pPr>
    <w:rPr>
      <w:rFonts w:ascii="Calibri" w:hAnsi="Calibri"/>
      <w:sz w:val="22"/>
      <w:szCs w:val="22"/>
    </w:rPr>
  </w:style>
  <w:style w:type="paragraph" w:customStyle="1" w:styleId="StyleHUNHeading2Justified">
    <w:name w:val="Style HUN_Heading 2 + Justified"/>
    <w:basedOn w:val="HUNHeading2"/>
    <w:rsid w:val="00BA3419"/>
    <w:pPr>
      <w:jc w:val="both"/>
    </w:pPr>
    <w:rPr>
      <w:szCs w:val="20"/>
    </w:rPr>
  </w:style>
  <w:style w:type="paragraph" w:customStyle="1" w:styleId="StyleHUNHeading3Justified">
    <w:name w:val="Style HUN_Heading 3 + Justified"/>
    <w:basedOn w:val="HUNHeading3"/>
    <w:rsid w:val="006E5FF8"/>
    <w:pPr>
      <w:ind w:left="504"/>
      <w:jc w:val="both"/>
    </w:pPr>
    <w:rPr>
      <w:sz w:val="24"/>
    </w:rPr>
  </w:style>
  <w:style w:type="paragraph" w:styleId="ListParagraph">
    <w:name w:val="List Paragraph"/>
    <w:basedOn w:val="Normal"/>
    <w:uiPriority w:val="34"/>
    <w:qFormat/>
    <w:rsid w:val="00B20BA4"/>
    <w:pPr>
      <w:ind w:left="720"/>
      <w:contextualSpacing/>
    </w:pPr>
  </w:style>
  <w:style w:type="character" w:styleId="CommentReference">
    <w:name w:val="annotation reference"/>
    <w:basedOn w:val="DefaultParagraphFont"/>
    <w:uiPriority w:val="99"/>
    <w:semiHidden/>
    <w:rsid w:val="00AE1AE0"/>
    <w:rPr>
      <w:sz w:val="16"/>
      <w:szCs w:val="16"/>
    </w:rPr>
  </w:style>
  <w:style w:type="paragraph" w:styleId="CommentText">
    <w:name w:val="annotation text"/>
    <w:basedOn w:val="Normal"/>
    <w:link w:val="CommentTextChar"/>
    <w:uiPriority w:val="99"/>
    <w:semiHidden/>
    <w:rsid w:val="00AE1AE0"/>
    <w:pPr>
      <w:spacing w:line="240" w:lineRule="auto"/>
    </w:pPr>
  </w:style>
  <w:style w:type="character" w:customStyle="1" w:styleId="CommentTextChar">
    <w:name w:val="Comment Text Char"/>
    <w:basedOn w:val="DefaultParagraphFont"/>
    <w:link w:val="CommentText"/>
    <w:uiPriority w:val="99"/>
    <w:semiHidden/>
    <w:rsid w:val="00AE1AE0"/>
    <w:rPr>
      <w:rFonts w:ascii="Franklin Gothic Book" w:hAnsi="Franklin Gothic Book"/>
    </w:rPr>
  </w:style>
  <w:style w:type="paragraph" w:styleId="CommentSubject">
    <w:name w:val="annotation subject"/>
    <w:basedOn w:val="CommentText"/>
    <w:next w:val="CommentText"/>
    <w:link w:val="CommentSubjectChar"/>
    <w:semiHidden/>
    <w:rsid w:val="00AE1AE0"/>
    <w:rPr>
      <w:b/>
      <w:bCs/>
    </w:rPr>
  </w:style>
  <w:style w:type="character" w:customStyle="1" w:styleId="CommentSubjectChar">
    <w:name w:val="Comment Subject Char"/>
    <w:basedOn w:val="CommentTextChar"/>
    <w:link w:val="CommentSubject"/>
    <w:semiHidden/>
    <w:rsid w:val="00AE1AE0"/>
    <w:rPr>
      <w:b/>
      <w:bCs/>
    </w:rPr>
  </w:style>
  <w:style w:type="paragraph" w:styleId="FootnoteText">
    <w:name w:val="footnote text"/>
    <w:basedOn w:val="Normal"/>
    <w:link w:val="FootnoteTextChar"/>
    <w:uiPriority w:val="99"/>
    <w:rsid w:val="008B122E"/>
    <w:pPr>
      <w:spacing w:before="0" w:after="0" w:line="240" w:lineRule="auto"/>
    </w:pPr>
  </w:style>
  <w:style w:type="character" w:customStyle="1" w:styleId="FootnoteTextChar">
    <w:name w:val="Footnote Text Char"/>
    <w:basedOn w:val="DefaultParagraphFont"/>
    <w:link w:val="FootnoteText"/>
    <w:uiPriority w:val="99"/>
    <w:rsid w:val="008B122E"/>
    <w:rPr>
      <w:rFonts w:ascii="Franklin Gothic Book" w:hAnsi="Franklin Gothic Book"/>
    </w:rPr>
  </w:style>
  <w:style w:type="character" w:styleId="FootnoteReference">
    <w:name w:val="footnote reference"/>
    <w:basedOn w:val="DefaultParagraphFont"/>
    <w:uiPriority w:val="99"/>
    <w:rsid w:val="008B122E"/>
    <w:rPr>
      <w:vertAlign w:val="superscript"/>
    </w:rPr>
  </w:style>
  <w:style w:type="table" w:styleId="MediumGrid3-Accent2">
    <w:name w:val="Medium Grid 3 Accent 2"/>
    <w:basedOn w:val="TableNormal"/>
    <w:uiPriority w:val="69"/>
    <w:rsid w:val="00732B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1">
    <w:name w:val="Table Grid 1"/>
    <w:basedOn w:val="TableNormal"/>
    <w:rsid w:val="00124324"/>
    <w:pPr>
      <w:spacing w:before="60" w:after="120"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1">
    <w:name w:val="Table Columns 1"/>
    <w:basedOn w:val="TableNormal"/>
    <w:rsid w:val="004E76BB"/>
    <w:pPr>
      <w:spacing w:before="60" w:after="120"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2">
    <w:name w:val="Medium Shading 2 Accent 2"/>
    <w:basedOn w:val="TableNormal"/>
    <w:uiPriority w:val="64"/>
    <w:rsid w:val="004E76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2B288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AAMNormal">
    <w:name w:val="AAM_Normal"/>
    <w:basedOn w:val="Normal"/>
    <w:qFormat/>
    <w:rsid w:val="00C76D9A"/>
    <w:pPr>
      <w:jc w:val="both"/>
    </w:pPr>
  </w:style>
  <w:style w:type="paragraph" w:styleId="Revision">
    <w:name w:val="Revision"/>
    <w:hidden/>
    <w:uiPriority w:val="99"/>
    <w:semiHidden/>
    <w:rsid w:val="00DC69C5"/>
    <w:rPr>
      <w:rFonts w:ascii="Franklin Gothic Book" w:hAnsi="Franklin Gothic Book"/>
    </w:rPr>
  </w:style>
  <w:style w:type="paragraph" w:styleId="Caption">
    <w:name w:val="caption"/>
    <w:basedOn w:val="Normal"/>
    <w:next w:val="Normal"/>
    <w:semiHidden/>
    <w:qFormat/>
    <w:rsid w:val="00BB164D"/>
    <w:pPr>
      <w:spacing w:before="0" w:after="200" w:line="240" w:lineRule="auto"/>
    </w:pPr>
    <w:rPr>
      <w:b/>
      <w:bCs/>
      <w:color w:val="4F81BD"/>
      <w:sz w:val="18"/>
      <w:szCs w:val="18"/>
    </w:rPr>
  </w:style>
  <w:style w:type="table" w:styleId="ColorfulList-Accent2">
    <w:name w:val="Colorful List Accent 2"/>
    <w:basedOn w:val="TableNormal"/>
    <w:uiPriority w:val="72"/>
    <w:rsid w:val="00E6067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s>
</file>

<file path=word/webSettings.xml><?xml version="1.0" encoding="utf-8"?>
<w:webSettings xmlns:r="http://schemas.openxmlformats.org/officeDocument/2006/relationships" xmlns:w="http://schemas.openxmlformats.org/wordprocessingml/2006/main">
  <w:divs>
    <w:div w:id="515383434">
      <w:bodyDiv w:val="1"/>
      <w:marLeft w:val="0"/>
      <w:marRight w:val="0"/>
      <w:marTop w:val="0"/>
      <w:marBottom w:val="0"/>
      <w:divBdr>
        <w:top w:val="none" w:sz="0" w:space="0" w:color="auto"/>
        <w:left w:val="none" w:sz="0" w:space="0" w:color="auto"/>
        <w:bottom w:val="none" w:sz="0" w:space="0" w:color="auto"/>
        <w:right w:val="none" w:sz="0" w:space="0" w:color="auto"/>
      </w:divBdr>
    </w:div>
    <w:div w:id="1512600895">
      <w:bodyDiv w:val="1"/>
      <w:marLeft w:val="0"/>
      <w:marRight w:val="0"/>
      <w:marTop w:val="0"/>
      <w:marBottom w:val="0"/>
      <w:divBdr>
        <w:top w:val="none" w:sz="0" w:space="0" w:color="auto"/>
        <w:left w:val="none" w:sz="0" w:space="0" w:color="auto"/>
        <w:bottom w:val="none" w:sz="0" w:space="0" w:color="auto"/>
        <w:right w:val="none" w:sz="0" w:space="0" w:color="auto"/>
      </w:divBdr>
    </w:div>
    <w:div w:id="1578172502">
      <w:bodyDiv w:val="1"/>
      <w:marLeft w:val="0"/>
      <w:marRight w:val="0"/>
      <w:marTop w:val="0"/>
      <w:marBottom w:val="0"/>
      <w:divBdr>
        <w:top w:val="none" w:sz="0" w:space="0" w:color="auto"/>
        <w:left w:val="none" w:sz="0" w:space="0" w:color="auto"/>
        <w:bottom w:val="none" w:sz="0" w:space="0" w:color="auto"/>
        <w:right w:val="none" w:sz="0" w:space="0" w:color="auto"/>
      </w:divBdr>
    </w:div>
    <w:div w:id="1607494394">
      <w:bodyDiv w:val="1"/>
      <w:marLeft w:val="0"/>
      <w:marRight w:val="0"/>
      <w:marTop w:val="0"/>
      <w:marBottom w:val="0"/>
      <w:divBdr>
        <w:top w:val="none" w:sz="0" w:space="0" w:color="auto"/>
        <w:left w:val="none" w:sz="0" w:space="0" w:color="auto"/>
        <w:bottom w:val="none" w:sz="0" w:space="0" w:color="auto"/>
        <w:right w:val="none" w:sz="0" w:space="0" w:color="auto"/>
      </w:divBdr>
    </w:div>
    <w:div w:id="1884901772">
      <w:bodyDiv w:val="1"/>
      <w:marLeft w:val="0"/>
      <w:marRight w:val="0"/>
      <w:marTop w:val="0"/>
      <w:marBottom w:val="0"/>
      <w:divBdr>
        <w:top w:val="none" w:sz="0" w:space="0" w:color="auto"/>
        <w:left w:val="none" w:sz="0" w:space="0" w:color="auto"/>
        <w:bottom w:val="none" w:sz="0" w:space="0" w:color="auto"/>
        <w:right w:val="none" w:sz="0" w:space="0" w:color="auto"/>
      </w:divBdr>
      <w:divsChild>
        <w:div w:id="731273899">
          <w:marLeft w:val="0"/>
          <w:marRight w:val="0"/>
          <w:marTop w:val="0"/>
          <w:marBottom w:val="0"/>
          <w:divBdr>
            <w:top w:val="none" w:sz="0" w:space="0" w:color="auto"/>
            <w:left w:val="none" w:sz="0" w:space="0" w:color="auto"/>
            <w:bottom w:val="none" w:sz="0" w:space="0" w:color="auto"/>
            <w:right w:val="none" w:sz="0" w:space="0" w:color="auto"/>
          </w:divBdr>
        </w:div>
        <w:div w:id="1054738161">
          <w:marLeft w:val="0"/>
          <w:marRight w:val="0"/>
          <w:marTop w:val="0"/>
          <w:marBottom w:val="0"/>
          <w:divBdr>
            <w:top w:val="none" w:sz="0" w:space="0" w:color="auto"/>
            <w:left w:val="none" w:sz="0" w:space="0" w:color="auto"/>
            <w:bottom w:val="none" w:sz="0" w:space="0" w:color="auto"/>
            <w:right w:val="none" w:sz="0" w:space="0" w:color="auto"/>
          </w:divBdr>
        </w:div>
        <w:div w:id="1574730271">
          <w:marLeft w:val="0"/>
          <w:marRight w:val="0"/>
          <w:marTop w:val="0"/>
          <w:marBottom w:val="0"/>
          <w:divBdr>
            <w:top w:val="none" w:sz="0" w:space="0" w:color="auto"/>
            <w:left w:val="none" w:sz="0" w:space="0" w:color="auto"/>
            <w:bottom w:val="none" w:sz="0" w:space="0" w:color="auto"/>
            <w:right w:val="none" w:sz="0" w:space="0" w:color="auto"/>
          </w:divBdr>
        </w:div>
      </w:divsChild>
    </w:div>
    <w:div w:id="1983807370">
      <w:bodyDiv w:val="1"/>
      <w:marLeft w:val="0"/>
      <w:marRight w:val="0"/>
      <w:marTop w:val="0"/>
      <w:marBottom w:val="0"/>
      <w:divBdr>
        <w:top w:val="none" w:sz="0" w:space="0" w:color="auto"/>
        <w:left w:val="none" w:sz="0" w:space="0" w:color="auto"/>
        <w:bottom w:val="none" w:sz="0" w:space="0" w:color="auto"/>
        <w:right w:val="none" w:sz="0" w:space="0" w:color="auto"/>
      </w:divBdr>
    </w:div>
    <w:div w:id="20328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saved_20101120\m04_Adatgy&#369;jt&#233;s\MVH_anyagok\!ELKESZULT_ELEMZESEK_KIMUTATASOK\MVH_0630_TK_Gazda_CLEAN_v089.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roundedCorners val="1"/>
  <c:style val="26"/>
  <c:chart>
    <c:title>
      <c:tx>
        <c:rich>
          <a:bodyPr/>
          <a:lstStyle/>
          <a:p>
            <a:pPr>
              <a:defRPr cap="small" baseline="0"/>
            </a:pPr>
            <a:r>
              <a:rPr lang="hu-HU" sz="1200" cap="small" baseline="0"/>
              <a:t>Támogatott (belső kör) és beérkezett (külső kör) támogatási kérelmek regionális megoszlása</a:t>
            </a:r>
          </a:p>
        </c:rich>
      </c:tx>
      <c:layout>
        <c:manualLayout>
          <c:xMode val="edge"/>
          <c:yMode val="edge"/>
          <c:x val="0.14566435980471126"/>
          <c:y val="7.3419876569483025E-5"/>
        </c:manualLayout>
      </c:layout>
      <c:overlay val="1"/>
    </c:title>
    <c:plotArea>
      <c:layout>
        <c:manualLayout>
          <c:layoutTarget val="inner"/>
          <c:xMode val="edge"/>
          <c:yMode val="edge"/>
          <c:x val="0.1760026609522119"/>
          <c:y val="0.19187286235425866"/>
          <c:w val="0.47772699843916488"/>
          <c:h val="0.77334997669760286"/>
        </c:manualLayout>
      </c:layout>
      <c:doughnutChart>
        <c:varyColors val="1"/>
        <c:ser>
          <c:idx val="0"/>
          <c:order val="0"/>
          <c:tx>
            <c:strRef>
              <c:f>Freeze!$B$78</c:f>
              <c:strCache>
                <c:ptCount val="1"/>
                <c:pt idx="0">
                  <c:v>Támogatott kérelem</c:v>
                </c:pt>
              </c:strCache>
            </c:strRef>
          </c:tx>
          <c:explosion val="25"/>
          <c:dLbls>
            <c:txPr>
              <a:bodyPr/>
              <a:lstStyle/>
              <a:p>
                <a:pPr>
                  <a:defRPr>
                    <a:solidFill>
                      <a:schemeClr val="bg1"/>
                    </a:solidFill>
                  </a:defRPr>
                </a:pPr>
                <a:endParaRPr lang="hu-HU"/>
              </a:p>
            </c:txPr>
            <c:showVal val="1"/>
            <c:showLeaderLines val="1"/>
          </c:dLbls>
          <c:cat>
            <c:strRef>
              <c:f>Freeze!$A$79:$A$85</c:f>
              <c:strCache>
                <c:ptCount val="7"/>
                <c:pt idx="0">
                  <c:v>Észak-Alföld</c:v>
                </c:pt>
                <c:pt idx="1">
                  <c:v>Dél-Alföld</c:v>
                </c:pt>
                <c:pt idx="2">
                  <c:v>Nyugat-Dunántúl</c:v>
                </c:pt>
                <c:pt idx="3">
                  <c:v>Észak-Magyarország</c:v>
                </c:pt>
                <c:pt idx="4">
                  <c:v>Dél-Dunántúl</c:v>
                </c:pt>
                <c:pt idx="5">
                  <c:v>Közép-Dunántúl</c:v>
                </c:pt>
                <c:pt idx="6">
                  <c:v>Közép-Magyarország</c:v>
                </c:pt>
              </c:strCache>
            </c:strRef>
          </c:cat>
          <c:val>
            <c:numRef>
              <c:f>Freeze!$B$79:$B$85</c:f>
              <c:numCache>
                <c:formatCode>0%</c:formatCode>
                <c:ptCount val="7"/>
                <c:pt idx="0">
                  <c:v>0.34639696586599933</c:v>
                </c:pt>
                <c:pt idx="1">
                  <c:v>0.24188790560471968</c:v>
                </c:pt>
                <c:pt idx="2">
                  <c:v>0.10408765276022022</c:v>
                </c:pt>
                <c:pt idx="3">
                  <c:v>9.0181205225453032E-2</c:v>
                </c:pt>
                <c:pt idx="4">
                  <c:v>8.6809945217025064E-2</c:v>
                </c:pt>
                <c:pt idx="5">
                  <c:v>7.2482090181206146E-2</c:v>
                </c:pt>
                <c:pt idx="6">
                  <c:v>5.8154235145385834E-2</c:v>
                </c:pt>
              </c:numCache>
            </c:numRef>
          </c:val>
        </c:ser>
        <c:ser>
          <c:idx val="1"/>
          <c:order val="1"/>
          <c:tx>
            <c:strRef>
              <c:f>Freeze!$C$78</c:f>
              <c:strCache>
                <c:ptCount val="1"/>
                <c:pt idx="0">
                  <c:v>Beérkezett kérelem</c:v>
                </c:pt>
              </c:strCache>
            </c:strRef>
          </c:tx>
          <c:explosion val="25"/>
          <c:dLbls>
            <c:txPr>
              <a:bodyPr/>
              <a:lstStyle/>
              <a:p>
                <a:pPr>
                  <a:defRPr b="1">
                    <a:solidFill>
                      <a:schemeClr val="bg1"/>
                    </a:solidFill>
                  </a:defRPr>
                </a:pPr>
                <a:endParaRPr lang="hu-HU"/>
              </a:p>
            </c:txPr>
            <c:showVal val="1"/>
            <c:showLeaderLines val="1"/>
          </c:dLbls>
          <c:cat>
            <c:strRef>
              <c:f>Freeze!$A$79:$A$85</c:f>
              <c:strCache>
                <c:ptCount val="7"/>
                <c:pt idx="0">
                  <c:v>Észak-Alföld</c:v>
                </c:pt>
                <c:pt idx="1">
                  <c:v>Dél-Alföld</c:v>
                </c:pt>
                <c:pt idx="2">
                  <c:v>Nyugat-Dunántúl</c:v>
                </c:pt>
                <c:pt idx="3">
                  <c:v>Észak-Magyarország</c:v>
                </c:pt>
                <c:pt idx="4">
                  <c:v>Dél-Dunántúl</c:v>
                </c:pt>
                <c:pt idx="5">
                  <c:v>Közép-Dunántúl</c:v>
                </c:pt>
                <c:pt idx="6">
                  <c:v>Közép-Magyarország</c:v>
                </c:pt>
              </c:strCache>
            </c:strRef>
          </c:cat>
          <c:val>
            <c:numRef>
              <c:f>Freeze!$C$79:$C$85</c:f>
              <c:numCache>
                <c:formatCode>0%</c:formatCode>
                <c:ptCount val="7"/>
                <c:pt idx="0">
                  <c:v>0.31975536579737263</c:v>
                </c:pt>
                <c:pt idx="1">
                  <c:v>0.26990537733671832</c:v>
                </c:pt>
                <c:pt idx="2">
                  <c:v>8.3544888068314685E-2</c:v>
                </c:pt>
                <c:pt idx="3">
                  <c:v>0.10535425801984755</c:v>
                </c:pt>
                <c:pt idx="4">
                  <c:v>8.4929609969997766E-2</c:v>
                </c:pt>
                <c:pt idx="5">
                  <c:v>6.7735979690745934E-2</c:v>
                </c:pt>
                <c:pt idx="6">
                  <c:v>6.8774521117009504E-2</c:v>
                </c:pt>
              </c:numCache>
            </c:numRef>
          </c:val>
        </c:ser>
        <c:firstSliceAng val="0"/>
        <c:holeSize val="50"/>
      </c:doughnutChart>
    </c:plotArea>
    <c:legend>
      <c:legendPos val="r"/>
      <c:layout>
        <c:manualLayout>
          <c:xMode val="edge"/>
          <c:yMode val="edge"/>
          <c:x val="0.71103736972811127"/>
          <c:y val="0.20916928066918491"/>
          <c:w val="0.28535026693800974"/>
          <c:h val="0.5848598744908039"/>
        </c:manualLayout>
      </c:layout>
      <c:txPr>
        <a:bodyPr/>
        <a:lstStyle/>
        <a:p>
          <a:pPr>
            <a:defRPr b="1"/>
          </a:pPr>
          <a:endParaRPr lang="hu-HU"/>
        </a:p>
      </c:txPr>
    </c:legend>
    <c:plotVisOnly val="1"/>
  </c:chart>
  <c:spPr>
    <a:solidFill>
      <a:schemeClr val="bg1">
        <a:lumMod val="65000"/>
      </a:schemeClr>
    </a:solidFill>
    <a:effectLst>
      <a:outerShdw blurRad="50800" dist="38100" dir="2700000" sx="104000" sy="104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Pr>
        <a:bodyPr/>
        <a:lstStyle/>
        <a:p>
          <a:pPr>
            <a:defRPr sz="1600" cap="small" baseline="0"/>
          </a:pPr>
          <a:endParaRPr lang="hu-HU"/>
        </a:p>
      </c:txPr>
    </c:title>
    <c:view3D>
      <c:rotX val="30"/>
      <c:perspective val="30"/>
    </c:view3D>
    <c:plotArea>
      <c:layout/>
      <c:pie3DChart>
        <c:varyColors val="1"/>
        <c:ser>
          <c:idx val="0"/>
          <c:order val="0"/>
          <c:tx>
            <c:v>A támogatott kérelmezők iparág szerinti megoszlása</c:v>
          </c:tx>
          <c:explosion val="25"/>
          <c:dLbls>
            <c:dLbl>
              <c:idx val="0"/>
              <c:spPr/>
              <c:txPr>
                <a:bodyPr/>
                <a:lstStyle/>
                <a:p>
                  <a:pPr>
                    <a:defRPr b="1">
                      <a:solidFill>
                        <a:schemeClr val="bg1"/>
                      </a:solidFill>
                    </a:defRPr>
                  </a:pPr>
                  <a:endParaRPr lang="hu-HU"/>
                </a:p>
              </c:txPr>
            </c:dLbl>
            <c:dLbl>
              <c:idx val="1"/>
              <c:spPr/>
              <c:txPr>
                <a:bodyPr/>
                <a:lstStyle/>
                <a:p>
                  <a:pPr>
                    <a:defRPr b="1">
                      <a:solidFill>
                        <a:schemeClr val="bg1"/>
                      </a:solidFill>
                    </a:defRPr>
                  </a:pPr>
                  <a:endParaRPr lang="hu-HU"/>
                </a:p>
              </c:txPr>
            </c:dLbl>
            <c:dLbl>
              <c:idx val="3"/>
              <c:spPr/>
              <c:txPr>
                <a:bodyPr/>
                <a:lstStyle/>
                <a:p>
                  <a:pPr>
                    <a:defRPr b="1">
                      <a:solidFill>
                        <a:schemeClr val="bg1"/>
                      </a:solidFill>
                    </a:defRPr>
                  </a:pPr>
                  <a:endParaRPr lang="hu-HU"/>
                </a:p>
              </c:txPr>
            </c:dLbl>
            <c:txPr>
              <a:bodyPr/>
              <a:lstStyle/>
              <a:p>
                <a:pPr>
                  <a:defRPr b="1"/>
                </a:pPr>
                <a:endParaRPr lang="hu-HU"/>
              </a:p>
            </c:txPr>
            <c:showVal val="1"/>
            <c:showLeaderLines val="1"/>
          </c:dLbls>
          <c:cat>
            <c:strRef>
              <c:f>Sheet1!$L$5:$L$15</c:f>
              <c:strCache>
                <c:ptCount val="11"/>
                <c:pt idx="0">
                  <c:v>malomipar</c:v>
                </c:pt>
                <c:pt idx="1">
                  <c:v>takarmány előállítás</c:v>
                </c:pt>
                <c:pt idx="2">
                  <c:v>tejipar</c:v>
                </c:pt>
                <c:pt idx="3">
                  <c:v>húsipar</c:v>
                </c:pt>
                <c:pt idx="4">
                  <c:v>baromfiipar</c:v>
                </c:pt>
                <c:pt idx="5">
                  <c:v>borászat</c:v>
                </c:pt>
                <c:pt idx="6">
                  <c:v>pálinka előállítás</c:v>
                </c:pt>
                <c:pt idx="7">
                  <c:v>konzervipar</c:v>
                </c:pt>
                <c:pt idx="8">
                  <c:v>zöldség-, gyümölcs feldolgozás</c:v>
                </c:pt>
                <c:pt idx="9">
                  <c:v>növényolaj ipar</c:v>
                </c:pt>
                <c:pt idx="10">
                  <c:v>vegyes élelmiszer, fűszer előállítás</c:v>
                </c:pt>
              </c:strCache>
            </c:strRef>
          </c:cat>
          <c:val>
            <c:numRef>
              <c:f>Sheet1!$K$5:$K$15</c:f>
              <c:numCache>
                <c:formatCode>0%</c:formatCode>
                <c:ptCount val="11"/>
                <c:pt idx="0">
                  <c:v>4.0000000000000029E-2</c:v>
                </c:pt>
                <c:pt idx="1">
                  <c:v>8.0000000000000057E-2</c:v>
                </c:pt>
                <c:pt idx="2">
                  <c:v>6.0000000000000039E-2</c:v>
                </c:pt>
                <c:pt idx="3">
                  <c:v>0.14000000000000001</c:v>
                </c:pt>
                <c:pt idx="4">
                  <c:v>5.0000000000000024E-2</c:v>
                </c:pt>
                <c:pt idx="5">
                  <c:v>0.39000000000000246</c:v>
                </c:pt>
                <c:pt idx="6">
                  <c:v>8.0000000000000057E-2</c:v>
                </c:pt>
                <c:pt idx="7">
                  <c:v>1.0000000000000007E-2</c:v>
                </c:pt>
                <c:pt idx="8">
                  <c:v>0.11000000000000001</c:v>
                </c:pt>
                <c:pt idx="9">
                  <c:v>1.0000000000000007E-2</c:v>
                </c:pt>
                <c:pt idx="10">
                  <c:v>3.0000000000000016E-2</c:v>
                </c:pt>
              </c:numCache>
            </c:numRef>
          </c:val>
        </c:ser>
      </c:pie3DChart>
    </c:plotArea>
    <c:legend>
      <c:legendPos val="r"/>
      <c:txPr>
        <a:bodyPr/>
        <a:lstStyle/>
        <a:p>
          <a:pPr rtl="0">
            <a:defRPr b="1"/>
          </a:pPr>
          <a:endParaRPr lang="hu-HU"/>
        </a:p>
      </c:txPr>
    </c:legend>
    <c:plotVisOnly val="1"/>
  </c:chart>
  <c:spPr>
    <a:solidFill>
      <a:schemeClr val="bg1">
        <a:lumMod val="85000"/>
      </a:schemeClr>
    </a:solidFill>
    <a:effectLst>
      <a:outerShdw blurRad="50800" dist="38100" dir="2700000" sx="103000" sy="103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BA47-4B92-4186-9512-9BD004D1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22935</Words>
  <Characters>158255</Characters>
  <Application>Microsoft Office Word</Application>
  <DocSecurity>0</DocSecurity>
  <Lines>1318</Lines>
  <Paragraphs>361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180829</CharactersWithSpaces>
  <SharedDoc>false</SharedDoc>
  <HLinks>
    <vt:vector size="132" baseType="variant">
      <vt:variant>
        <vt:i4>6488136</vt:i4>
      </vt:variant>
      <vt:variant>
        <vt:i4>129</vt:i4>
      </vt:variant>
      <vt:variant>
        <vt:i4>0</vt:i4>
      </vt:variant>
      <vt:variant>
        <vt:i4>5</vt:i4>
      </vt:variant>
      <vt:variant>
        <vt:lpwstr>mailto:hungarikum@aam.hu</vt:lpwstr>
      </vt:variant>
      <vt:variant>
        <vt:lpwstr/>
      </vt:variant>
      <vt:variant>
        <vt:i4>1835061</vt:i4>
      </vt:variant>
      <vt:variant>
        <vt:i4>122</vt:i4>
      </vt:variant>
      <vt:variant>
        <vt:i4>0</vt:i4>
      </vt:variant>
      <vt:variant>
        <vt:i4>5</vt:i4>
      </vt:variant>
      <vt:variant>
        <vt:lpwstr/>
      </vt:variant>
      <vt:variant>
        <vt:lpwstr>_Toc279376994</vt:lpwstr>
      </vt:variant>
      <vt:variant>
        <vt:i4>1835061</vt:i4>
      </vt:variant>
      <vt:variant>
        <vt:i4>116</vt:i4>
      </vt:variant>
      <vt:variant>
        <vt:i4>0</vt:i4>
      </vt:variant>
      <vt:variant>
        <vt:i4>5</vt:i4>
      </vt:variant>
      <vt:variant>
        <vt:lpwstr/>
      </vt:variant>
      <vt:variant>
        <vt:lpwstr>_Toc279376993</vt:lpwstr>
      </vt:variant>
      <vt:variant>
        <vt:i4>1835061</vt:i4>
      </vt:variant>
      <vt:variant>
        <vt:i4>110</vt:i4>
      </vt:variant>
      <vt:variant>
        <vt:i4>0</vt:i4>
      </vt:variant>
      <vt:variant>
        <vt:i4>5</vt:i4>
      </vt:variant>
      <vt:variant>
        <vt:lpwstr/>
      </vt:variant>
      <vt:variant>
        <vt:lpwstr>_Toc279376992</vt:lpwstr>
      </vt:variant>
      <vt:variant>
        <vt:i4>1835061</vt:i4>
      </vt:variant>
      <vt:variant>
        <vt:i4>104</vt:i4>
      </vt:variant>
      <vt:variant>
        <vt:i4>0</vt:i4>
      </vt:variant>
      <vt:variant>
        <vt:i4>5</vt:i4>
      </vt:variant>
      <vt:variant>
        <vt:lpwstr/>
      </vt:variant>
      <vt:variant>
        <vt:lpwstr>_Toc279376991</vt:lpwstr>
      </vt:variant>
      <vt:variant>
        <vt:i4>1835061</vt:i4>
      </vt:variant>
      <vt:variant>
        <vt:i4>98</vt:i4>
      </vt:variant>
      <vt:variant>
        <vt:i4>0</vt:i4>
      </vt:variant>
      <vt:variant>
        <vt:i4>5</vt:i4>
      </vt:variant>
      <vt:variant>
        <vt:lpwstr/>
      </vt:variant>
      <vt:variant>
        <vt:lpwstr>_Toc279376990</vt:lpwstr>
      </vt:variant>
      <vt:variant>
        <vt:i4>1900597</vt:i4>
      </vt:variant>
      <vt:variant>
        <vt:i4>92</vt:i4>
      </vt:variant>
      <vt:variant>
        <vt:i4>0</vt:i4>
      </vt:variant>
      <vt:variant>
        <vt:i4>5</vt:i4>
      </vt:variant>
      <vt:variant>
        <vt:lpwstr/>
      </vt:variant>
      <vt:variant>
        <vt:lpwstr>_Toc279376989</vt:lpwstr>
      </vt:variant>
      <vt:variant>
        <vt:i4>1900597</vt:i4>
      </vt:variant>
      <vt:variant>
        <vt:i4>86</vt:i4>
      </vt:variant>
      <vt:variant>
        <vt:i4>0</vt:i4>
      </vt:variant>
      <vt:variant>
        <vt:i4>5</vt:i4>
      </vt:variant>
      <vt:variant>
        <vt:lpwstr/>
      </vt:variant>
      <vt:variant>
        <vt:lpwstr>_Toc279376988</vt:lpwstr>
      </vt:variant>
      <vt:variant>
        <vt:i4>1900597</vt:i4>
      </vt:variant>
      <vt:variant>
        <vt:i4>80</vt:i4>
      </vt:variant>
      <vt:variant>
        <vt:i4>0</vt:i4>
      </vt:variant>
      <vt:variant>
        <vt:i4>5</vt:i4>
      </vt:variant>
      <vt:variant>
        <vt:lpwstr/>
      </vt:variant>
      <vt:variant>
        <vt:lpwstr>_Toc279376987</vt:lpwstr>
      </vt:variant>
      <vt:variant>
        <vt:i4>1900597</vt:i4>
      </vt:variant>
      <vt:variant>
        <vt:i4>74</vt:i4>
      </vt:variant>
      <vt:variant>
        <vt:i4>0</vt:i4>
      </vt:variant>
      <vt:variant>
        <vt:i4>5</vt:i4>
      </vt:variant>
      <vt:variant>
        <vt:lpwstr/>
      </vt:variant>
      <vt:variant>
        <vt:lpwstr>_Toc279376986</vt:lpwstr>
      </vt:variant>
      <vt:variant>
        <vt:i4>1900597</vt:i4>
      </vt:variant>
      <vt:variant>
        <vt:i4>68</vt:i4>
      </vt:variant>
      <vt:variant>
        <vt:i4>0</vt:i4>
      </vt:variant>
      <vt:variant>
        <vt:i4>5</vt:i4>
      </vt:variant>
      <vt:variant>
        <vt:lpwstr/>
      </vt:variant>
      <vt:variant>
        <vt:lpwstr>_Toc279376985</vt:lpwstr>
      </vt:variant>
      <vt:variant>
        <vt:i4>1900597</vt:i4>
      </vt:variant>
      <vt:variant>
        <vt:i4>62</vt:i4>
      </vt:variant>
      <vt:variant>
        <vt:i4>0</vt:i4>
      </vt:variant>
      <vt:variant>
        <vt:i4>5</vt:i4>
      </vt:variant>
      <vt:variant>
        <vt:lpwstr/>
      </vt:variant>
      <vt:variant>
        <vt:lpwstr>_Toc279376984</vt:lpwstr>
      </vt:variant>
      <vt:variant>
        <vt:i4>1900597</vt:i4>
      </vt:variant>
      <vt:variant>
        <vt:i4>56</vt:i4>
      </vt:variant>
      <vt:variant>
        <vt:i4>0</vt:i4>
      </vt:variant>
      <vt:variant>
        <vt:i4>5</vt:i4>
      </vt:variant>
      <vt:variant>
        <vt:lpwstr/>
      </vt:variant>
      <vt:variant>
        <vt:lpwstr>_Toc279376983</vt:lpwstr>
      </vt:variant>
      <vt:variant>
        <vt:i4>1900597</vt:i4>
      </vt:variant>
      <vt:variant>
        <vt:i4>50</vt:i4>
      </vt:variant>
      <vt:variant>
        <vt:i4>0</vt:i4>
      </vt:variant>
      <vt:variant>
        <vt:i4>5</vt:i4>
      </vt:variant>
      <vt:variant>
        <vt:lpwstr/>
      </vt:variant>
      <vt:variant>
        <vt:lpwstr>_Toc279376982</vt:lpwstr>
      </vt:variant>
      <vt:variant>
        <vt:i4>1900597</vt:i4>
      </vt:variant>
      <vt:variant>
        <vt:i4>44</vt:i4>
      </vt:variant>
      <vt:variant>
        <vt:i4>0</vt:i4>
      </vt:variant>
      <vt:variant>
        <vt:i4>5</vt:i4>
      </vt:variant>
      <vt:variant>
        <vt:lpwstr/>
      </vt:variant>
      <vt:variant>
        <vt:lpwstr>_Toc279376981</vt:lpwstr>
      </vt:variant>
      <vt:variant>
        <vt:i4>1900597</vt:i4>
      </vt:variant>
      <vt:variant>
        <vt:i4>38</vt:i4>
      </vt:variant>
      <vt:variant>
        <vt:i4>0</vt:i4>
      </vt:variant>
      <vt:variant>
        <vt:i4>5</vt:i4>
      </vt:variant>
      <vt:variant>
        <vt:lpwstr/>
      </vt:variant>
      <vt:variant>
        <vt:lpwstr>_Toc279376980</vt:lpwstr>
      </vt:variant>
      <vt:variant>
        <vt:i4>1179701</vt:i4>
      </vt:variant>
      <vt:variant>
        <vt:i4>32</vt:i4>
      </vt:variant>
      <vt:variant>
        <vt:i4>0</vt:i4>
      </vt:variant>
      <vt:variant>
        <vt:i4>5</vt:i4>
      </vt:variant>
      <vt:variant>
        <vt:lpwstr/>
      </vt:variant>
      <vt:variant>
        <vt:lpwstr>_Toc279376979</vt:lpwstr>
      </vt:variant>
      <vt:variant>
        <vt:i4>1179701</vt:i4>
      </vt:variant>
      <vt:variant>
        <vt:i4>26</vt:i4>
      </vt:variant>
      <vt:variant>
        <vt:i4>0</vt:i4>
      </vt:variant>
      <vt:variant>
        <vt:i4>5</vt:i4>
      </vt:variant>
      <vt:variant>
        <vt:lpwstr/>
      </vt:variant>
      <vt:variant>
        <vt:lpwstr>_Toc279376978</vt:lpwstr>
      </vt:variant>
      <vt:variant>
        <vt:i4>1179701</vt:i4>
      </vt:variant>
      <vt:variant>
        <vt:i4>20</vt:i4>
      </vt:variant>
      <vt:variant>
        <vt:i4>0</vt:i4>
      </vt:variant>
      <vt:variant>
        <vt:i4>5</vt:i4>
      </vt:variant>
      <vt:variant>
        <vt:lpwstr/>
      </vt:variant>
      <vt:variant>
        <vt:lpwstr>_Toc279376977</vt:lpwstr>
      </vt:variant>
      <vt:variant>
        <vt:i4>1179701</vt:i4>
      </vt:variant>
      <vt:variant>
        <vt:i4>14</vt:i4>
      </vt:variant>
      <vt:variant>
        <vt:i4>0</vt:i4>
      </vt:variant>
      <vt:variant>
        <vt:i4>5</vt:i4>
      </vt:variant>
      <vt:variant>
        <vt:lpwstr/>
      </vt:variant>
      <vt:variant>
        <vt:lpwstr>_Toc279376976</vt:lpwstr>
      </vt:variant>
      <vt:variant>
        <vt:i4>1179701</vt:i4>
      </vt:variant>
      <vt:variant>
        <vt:i4>8</vt:i4>
      </vt:variant>
      <vt:variant>
        <vt:i4>0</vt:i4>
      </vt:variant>
      <vt:variant>
        <vt:i4>5</vt:i4>
      </vt:variant>
      <vt:variant>
        <vt:lpwstr/>
      </vt:variant>
      <vt:variant>
        <vt:lpwstr>_Toc279376975</vt:lpwstr>
      </vt:variant>
      <vt:variant>
        <vt:i4>1179701</vt:i4>
      </vt:variant>
      <vt:variant>
        <vt:i4>2</vt:i4>
      </vt:variant>
      <vt:variant>
        <vt:i4>0</vt:i4>
      </vt:variant>
      <vt:variant>
        <vt:i4>5</vt:i4>
      </vt:variant>
      <vt:variant>
        <vt:lpwstr/>
      </vt:variant>
      <vt:variant>
        <vt:lpwstr>_Toc279376974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2010-12-22T12:00:00Z</dcterms:created>
  <dcterms:modified xsi:type="dcterms:W3CDTF">2010-12-22T12:13:00Z</dcterms:modified>
</cp:coreProperties>
</file>